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AB2C8C" w14:textId="66F3B26B" w:rsidR="00B06C55" w:rsidRPr="004B6CD8" w:rsidRDefault="00B11637" w:rsidP="00B11637">
      <w:pPr>
        <w:pStyle w:val="Pagedecouverture"/>
        <w:rPr>
          <w:noProof/>
        </w:rPr>
      </w:pPr>
      <w:bookmarkStart w:id="0" w:name="LW_BM_COVERPAGE"/>
      <w:r>
        <w:rPr>
          <w:noProof/>
        </w:rPr>
        <w:pict w14:anchorId="788C7E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843A15A-8BCD-41E6-A411-D138BCFA2E08" style="width:455.15pt;height:410.5pt">
            <v:imagedata r:id="rId11" o:title=""/>
          </v:shape>
        </w:pict>
      </w:r>
    </w:p>
    <w:bookmarkEnd w:id="0"/>
    <w:p w14:paraId="297E1667" w14:textId="77777777" w:rsidR="00B06C55" w:rsidRPr="004B6CD8" w:rsidRDefault="00B06C55" w:rsidP="00B06C55">
      <w:pPr>
        <w:rPr>
          <w:noProof/>
          <w:lang w:val="en-GB"/>
        </w:rPr>
        <w:sectPr w:rsidR="00B06C55" w:rsidRPr="004B6CD8" w:rsidSect="00B11637">
          <w:headerReference w:type="even" r:id="rId12"/>
          <w:headerReference w:type="default" r:id="rId13"/>
          <w:footerReference w:type="even" r:id="rId14"/>
          <w:footerReference w:type="default" r:id="rId15"/>
          <w:headerReference w:type="first" r:id="rId16"/>
          <w:footerReference w:type="first" r:id="rId17"/>
          <w:endnotePr>
            <w:pos w:val="sectEnd"/>
            <w:numFmt w:val="lowerLetter"/>
          </w:endnotePr>
          <w:pgSz w:w="11907" w:h="16839" w:code="9"/>
          <w:pgMar w:top="1134" w:right="1417" w:bottom="1134" w:left="1417" w:header="709" w:footer="709" w:gutter="0"/>
          <w:pgNumType w:start="0"/>
          <w:cols w:space="720"/>
          <w:docGrid w:linePitch="272"/>
        </w:sectPr>
      </w:pPr>
    </w:p>
    <w:p w14:paraId="637E956F" w14:textId="292DDE05" w:rsidR="0057062A" w:rsidRPr="004B6CD8" w:rsidRDefault="0057062A" w:rsidP="0057062A">
      <w:pPr>
        <w:rPr>
          <w:rFonts w:eastAsia="Calibri" w:cs="Times New Roman"/>
          <w:b/>
          <w:bCs/>
          <w:noProof/>
          <w:color w:val="003399" w:themeColor="text2"/>
          <w:kern w:val="0"/>
          <w:lang w:val="en-GB"/>
          <w14:ligatures w14:val="none"/>
        </w:rPr>
      </w:pPr>
      <w:bookmarkStart w:id="1" w:name="_GoBack"/>
      <w:bookmarkEnd w:id="1"/>
      <w:r w:rsidRPr="004B6CD8">
        <w:rPr>
          <w:rFonts w:eastAsia="Calibri" w:cs="Times New Roman"/>
          <w:noProof/>
          <w:color w:val="003399" w:themeColor="text2"/>
          <w:kern w:val="0"/>
          <w:sz w:val="48"/>
          <w:szCs w:val="48"/>
          <w:lang w:val="en-GB"/>
          <w14:ligatures w14:val="none"/>
        </w:rPr>
        <w:lastRenderedPageBreak/>
        <w:t>Contents</w:t>
      </w:r>
    </w:p>
    <w:p w14:paraId="18EB6473" w14:textId="0BD12FD2" w:rsidR="00F47663" w:rsidRDefault="00C76AA9">
      <w:pPr>
        <w:pStyle w:val="TOC1"/>
        <w:rPr>
          <w:rFonts w:asciiTheme="minorHAnsi" w:eastAsiaTheme="minorEastAsia" w:hAnsiTheme="minorHAnsi" w:cstheme="minorBidi"/>
          <w:b w:val="0"/>
          <w:caps w:val="0"/>
          <w:noProof/>
          <w:color w:val="auto"/>
          <w:sz w:val="24"/>
          <w:szCs w:val="24"/>
          <w:lang w:val="en-IE" w:eastAsia="en-IE"/>
        </w:rPr>
      </w:pPr>
      <w:r>
        <w:rPr>
          <w:rFonts w:eastAsia="Calibri"/>
          <w:noProof/>
          <w:kern w:val="0"/>
          <w14:ligatures w14:val="none"/>
        </w:rPr>
        <w:fldChar w:fldCharType="begin"/>
      </w:r>
      <w:r>
        <w:rPr>
          <w:rFonts w:eastAsia="Calibri"/>
          <w:noProof/>
          <w:kern w:val="0"/>
          <w14:ligatures w14:val="none"/>
        </w:rPr>
        <w:instrText xml:space="preserve"> TOC \o "2-9" \h \z \t "Heading 1,1,Manual Heading 1,1,References 1,1,Heading 1 No Break Before,1,Heading NoTOC 1,1,Heading Numbered 1,1,Heading Numbered 1 No Break Before,1,[ampr H2] Title 1,2,[ampr T-Annexes H1] TITLE 1,1,[ampr H1] Section title,1" </w:instrText>
      </w:r>
      <w:r>
        <w:rPr>
          <w:rFonts w:eastAsia="Calibri"/>
          <w:noProof/>
          <w:kern w:val="0"/>
          <w14:ligatures w14:val="none"/>
        </w:rPr>
        <w:fldChar w:fldCharType="separate"/>
      </w:r>
      <w:hyperlink w:anchor="_Toc231235419" w:history="1">
        <w:r w:rsidR="00F47663" w:rsidRPr="00AB1E94">
          <w:rPr>
            <w:rStyle w:val="Hyperlink"/>
            <w:noProof/>
          </w:rPr>
          <w:t>Part 1 Final reports</w:t>
        </w:r>
        <w:r w:rsidR="00F47663">
          <w:rPr>
            <w:noProof/>
            <w:webHidden/>
          </w:rPr>
          <w:tab/>
        </w:r>
        <w:r w:rsidR="00F47663">
          <w:rPr>
            <w:noProof/>
            <w:webHidden/>
          </w:rPr>
          <w:fldChar w:fldCharType="begin"/>
        </w:r>
        <w:r w:rsidR="00F47663">
          <w:rPr>
            <w:noProof/>
            <w:webHidden/>
          </w:rPr>
          <w:instrText xml:space="preserve"> PAGEREF _Toc231235419 \h </w:instrText>
        </w:r>
        <w:r w:rsidR="00F47663">
          <w:rPr>
            <w:noProof/>
            <w:webHidden/>
          </w:rPr>
        </w:r>
        <w:r w:rsidR="00F47663">
          <w:rPr>
            <w:noProof/>
            <w:webHidden/>
          </w:rPr>
          <w:fldChar w:fldCharType="separate"/>
        </w:r>
        <w:r w:rsidR="00F47663">
          <w:rPr>
            <w:noProof/>
            <w:webHidden/>
          </w:rPr>
          <w:t>6</w:t>
        </w:r>
        <w:r w:rsidR="00F47663">
          <w:rPr>
            <w:noProof/>
            <w:webHidden/>
          </w:rPr>
          <w:fldChar w:fldCharType="end"/>
        </w:r>
      </w:hyperlink>
    </w:p>
    <w:p w14:paraId="197956E3" w14:textId="4E8BEDC4" w:rsidR="00F47663" w:rsidRDefault="00B11637">
      <w:pPr>
        <w:pStyle w:val="TOC2"/>
        <w:rPr>
          <w:rFonts w:asciiTheme="minorHAnsi" w:eastAsiaTheme="minorEastAsia" w:hAnsiTheme="minorHAnsi" w:cstheme="minorBidi"/>
          <w:b w:val="0"/>
          <w:noProof/>
          <w:color w:val="auto"/>
          <w:sz w:val="24"/>
          <w:szCs w:val="24"/>
          <w:lang w:val="en-IE" w:eastAsia="en-IE"/>
        </w:rPr>
      </w:pPr>
      <w:hyperlink w:anchor="_Toc231235420" w:history="1">
        <w:r w:rsidR="00F47663" w:rsidRPr="00AB1E94">
          <w:rPr>
            <w:rStyle w:val="Hyperlink"/>
            <w:noProof/>
          </w:rPr>
          <w:t>Financial Processes</w:t>
        </w:r>
        <w:r w:rsidR="00F47663">
          <w:rPr>
            <w:noProof/>
            <w:webHidden/>
          </w:rPr>
          <w:tab/>
        </w:r>
        <w:r w:rsidR="00F47663">
          <w:rPr>
            <w:noProof/>
            <w:webHidden/>
          </w:rPr>
          <w:fldChar w:fldCharType="begin"/>
        </w:r>
        <w:r w:rsidR="00F47663">
          <w:rPr>
            <w:noProof/>
            <w:webHidden/>
          </w:rPr>
          <w:instrText xml:space="preserve"> PAGEREF _Toc231235420 \h </w:instrText>
        </w:r>
        <w:r w:rsidR="00F47663">
          <w:rPr>
            <w:noProof/>
            <w:webHidden/>
          </w:rPr>
        </w:r>
        <w:r w:rsidR="00F47663">
          <w:rPr>
            <w:noProof/>
            <w:webHidden/>
          </w:rPr>
          <w:fldChar w:fldCharType="separate"/>
        </w:r>
        <w:r w:rsidR="00F47663">
          <w:rPr>
            <w:noProof/>
            <w:webHidden/>
          </w:rPr>
          <w:t>7</w:t>
        </w:r>
        <w:r w:rsidR="00F47663">
          <w:rPr>
            <w:noProof/>
            <w:webHidden/>
          </w:rPr>
          <w:fldChar w:fldCharType="end"/>
        </w:r>
      </w:hyperlink>
    </w:p>
    <w:p w14:paraId="5F070466" w14:textId="0AB7016A"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21" w:history="1">
        <w:r w:rsidR="00F47663" w:rsidRPr="00AB1E94">
          <w:rPr>
            <w:rStyle w:val="Hyperlink"/>
          </w:rPr>
          <w:t>1.1.</w:t>
        </w:r>
        <w:r w:rsidR="00F47663">
          <w:rPr>
            <w:rFonts w:asciiTheme="minorHAnsi" w:eastAsiaTheme="minorEastAsia" w:hAnsiTheme="minorHAnsi" w:cstheme="minorBidi"/>
            <w:sz w:val="24"/>
            <w:szCs w:val="24"/>
            <w:lang w:val="en-IE" w:eastAsia="en-IE"/>
          </w:rPr>
          <w:tab/>
        </w:r>
        <w:r w:rsidR="00F47663" w:rsidRPr="00AB1E94">
          <w:rPr>
            <w:rStyle w:val="Hyperlink"/>
          </w:rPr>
          <w:t>Procurement (DGT)</w:t>
        </w:r>
        <w:r w:rsidR="00F47663">
          <w:rPr>
            <w:webHidden/>
          </w:rPr>
          <w:tab/>
        </w:r>
        <w:r w:rsidR="00F47663">
          <w:rPr>
            <w:webHidden/>
          </w:rPr>
          <w:fldChar w:fldCharType="begin"/>
        </w:r>
        <w:r w:rsidR="00F47663">
          <w:rPr>
            <w:webHidden/>
          </w:rPr>
          <w:instrText xml:space="preserve"> PAGEREF _Toc231235421 \h </w:instrText>
        </w:r>
        <w:r w:rsidR="00F47663">
          <w:rPr>
            <w:webHidden/>
          </w:rPr>
        </w:r>
        <w:r w:rsidR="00F47663">
          <w:rPr>
            <w:webHidden/>
          </w:rPr>
          <w:fldChar w:fldCharType="separate"/>
        </w:r>
        <w:r w:rsidR="00F47663">
          <w:rPr>
            <w:webHidden/>
          </w:rPr>
          <w:t>7</w:t>
        </w:r>
        <w:r w:rsidR="00F47663">
          <w:rPr>
            <w:webHidden/>
          </w:rPr>
          <w:fldChar w:fldCharType="end"/>
        </w:r>
      </w:hyperlink>
    </w:p>
    <w:p w14:paraId="2B40B744" w14:textId="75D20E38"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22" w:history="1">
        <w:r w:rsidR="00F47663" w:rsidRPr="00AB1E94">
          <w:rPr>
            <w:rStyle w:val="Hyperlink"/>
          </w:rPr>
          <w:t>1.2.</w:t>
        </w:r>
        <w:r w:rsidR="00F47663">
          <w:rPr>
            <w:rFonts w:asciiTheme="minorHAnsi" w:eastAsiaTheme="minorEastAsia" w:hAnsiTheme="minorHAnsi" w:cstheme="minorBidi"/>
            <w:sz w:val="24"/>
            <w:szCs w:val="24"/>
            <w:lang w:val="en-IE" w:eastAsia="en-IE"/>
          </w:rPr>
          <w:tab/>
        </w:r>
        <w:r w:rsidR="00F47663" w:rsidRPr="00AB1E94">
          <w:rPr>
            <w:rStyle w:val="Hyperlink"/>
          </w:rPr>
          <w:t>Procurement (EISMEA)</w:t>
        </w:r>
        <w:r w:rsidR="00F47663">
          <w:rPr>
            <w:webHidden/>
          </w:rPr>
          <w:tab/>
        </w:r>
        <w:r w:rsidR="00F47663">
          <w:rPr>
            <w:webHidden/>
          </w:rPr>
          <w:fldChar w:fldCharType="begin"/>
        </w:r>
        <w:r w:rsidR="00F47663">
          <w:rPr>
            <w:webHidden/>
          </w:rPr>
          <w:instrText xml:space="preserve"> PAGEREF _Toc231235422 \h </w:instrText>
        </w:r>
        <w:r w:rsidR="00F47663">
          <w:rPr>
            <w:webHidden/>
          </w:rPr>
        </w:r>
        <w:r w:rsidR="00F47663">
          <w:rPr>
            <w:webHidden/>
          </w:rPr>
          <w:fldChar w:fldCharType="separate"/>
        </w:r>
        <w:r w:rsidR="00F47663">
          <w:rPr>
            <w:webHidden/>
          </w:rPr>
          <w:t>8</w:t>
        </w:r>
        <w:r w:rsidR="00F47663">
          <w:rPr>
            <w:webHidden/>
          </w:rPr>
          <w:fldChar w:fldCharType="end"/>
        </w:r>
      </w:hyperlink>
    </w:p>
    <w:p w14:paraId="6CC368FE" w14:textId="23D78314"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23" w:history="1">
        <w:r w:rsidR="00F47663" w:rsidRPr="00AB1E94">
          <w:rPr>
            <w:rStyle w:val="Hyperlink"/>
          </w:rPr>
          <w:t>1.3.</w:t>
        </w:r>
        <w:r w:rsidR="00F47663">
          <w:rPr>
            <w:rFonts w:asciiTheme="minorHAnsi" w:eastAsiaTheme="minorEastAsia" w:hAnsiTheme="minorHAnsi" w:cstheme="minorBidi"/>
            <w:sz w:val="24"/>
            <w:szCs w:val="24"/>
            <w:lang w:val="en-IE" w:eastAsia="en-IE"/>
          </w:rPr>
          <w:tab/>
        </w:r>
        <w:r w:rsidR="00F47663" w:rsidRPr="00AB1E94">
          <w:rPr>
            <w:rStyle w:val="Hyperlink"/>
          </w:rPr>
          <w:t>Project management and payment process for the EU4Health Programme (HaDEA)</w:t>
        </w:r>
        <w:r w:rsidR="00F47663">
          <w:rPr>
            <w:webHidden/>
          </w:rPr>
          <w:tab/>
        </w:r>
        <w:r w:rsidR="00F47663">
          <w:rPr>
            <w:webHidden/>
          </w:rPr>
          <w:fldChar w:fldCharType="begin"/>
        </w:r>
        <w:r w:rsidR="00F47663">
          <w:rPr>
            <w:webHidden/>
          </w:rPr>
          <w:instrText xml:space="preserve"> PAGEREF _Toc231235423 \h </w:instrText>
        </w:r>
        <w:r w:rsidR="00F47663">
          <w:rPr>
            <w:webHidden/>
          </w:rPr>
        </w:r>
        <w:r w:rsidR="00F47663">
          <w:rPr>
            <w:webHidden/>
          </w:rPr>
          <w:fldChar w:fldCharType="separate"/>
        </w:r>
        <w:r w:rsidR="00F47663">
          <w:rPr>
            <w:webHidden/>
          </w:rPr>
          <w:t>9</w:t>
        </w:r>
        <w:r w:rsidR="00F47663">
          <w:rPr>
            <w:webHidden/>
          </w:rPr>
          <w:fldChar w:fldCharType="end"/>
        </w:r>
      </w:hyperlink>
    </w:p>
    <w:p w14:paraId="1F9FC872" w14:textId="43DF110C"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24" w:history="1">
        <w:r w:rsidR="00F47663" w:rsidRPr="00AB1E94">
          <w:rPr>
            <w:rStyle w:val="Hyperlink"/>
          </w:rPr>
          <w:t>1.4.</w:t>
        </w:r>
        <w:r w:rsidR="00F47663">
          <w:rPr>
            <w:rFonts w:asciiTheme="minorHAnsi" w:eastAsiaTheme="minorEastAsia" w:hAnsiTheme="minorHAnsi" w:cstheme="minorBidi"/>
            <w:sz w:val="24"/>
            <w:szCs w:val="24"/>
            <w:lang w:val="en-IE" w:eastAsia="en-IE"/>
          </w:rPr>
          <w:tab/>
        </w:r>
        <w:r w:rsidR="00F47663" w:rsidRPr="00AB1E94">
          <w:rPr>
            <w:rStyle w:val="Hyperlink"/>
          </w:rPr>
          <w:t>Project management and payment process of the European Defence Fund (DG DEFIS)</w:t>
        </w:r>
        <w:r w:rsidR="00F47663">
          <w:rPr>
            <w:webHidden/>
          </w:rPr>
          <w:tab/>
        </w:r>
        <w:r w:rsidR="00F47663">
          <w:rPr>
            <w:webHidden/>
          </w:rPr>
          <w:fldChar w:fldCharType="begin"/>
        </w:r>
        <w:r w:rsidR="00F47663">
          <w:rPr>
            <w:webHidden/>
          </w:rPr>
          <w:instrText xml:space="preserve"> PAGEREF _Toc231235424 \h </w:instrText>
        </w:r>
        <w:r w:rsidR="00F47663">
          <w:rPr>
            <w:webHidden/>
          </w:rPr>
        </w:r>
        <w:r w:rsidR="00F47663">
          <w:rPr>
            <w:webHidden/>
          </w:rPr>
          <w:fldChar w:fldCharType="separate"/>
        </w:r>
        <w:r w:rsidR="00F47663">
          <w:rPr>
            <w:webHidden/>
          </w:rPr>
          <w:t>10</w:t>
        </w:r>
        <w:r w:rsidR="00F47663">
          <w:rPr>
            <w:webHidden/>
          </w:rPr>
          <w:fldChar w:fldCharType="end"/>
        </w:r>
      </w:hyperlink>
    </w:p>
    <w:p w14:paraId="4FD96DBE" w14:textId="42075C5E"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25" w:history="1">
        <w:r w:rsidR="00F47663" w:rsidRPr="00AB1E94">
          <w:rPr>
            <w:rStyle w:val="Hyperlink"/>
          </w:rPr>
          <w:t>1.5.</w:t>
        </w:r>
        <w:r w:rsidR="00F47663">
          <w:rPr>
            <w:rFonts w:asciiTheme="minorHAnsi" w:eastAsiaTheme="minorEastAsia" w:hAnsiTheme="minorHAnsi" w:cstheme="minorBidi"/>
            <w:sz w:val="24"/>
            <w:szCs w:val="24"/>
            <w:lang w:val="en-IE" w:eastAsia="en-IE"/>
          </w:rPr>
          <w:tab/>
        </w:r>
        <w:r w:rsidR="00F47663" w:rsidRPr="00AB1E94">
          <w:rPr>
            <w:rStyle w:val="Hyperlink"/>
          </w:rPr>
          <w:t>Early implementation of grants in the short-term defence instruments (DG DEFIS)</w:t>
        </w:r>
        <w:r w:rsidR="00F47663">
          <w:rPr>
            <w:webHidden/>
          </w:rPr>
          <w:tab/>
        </w:r>
        <w:r w:rsidR="00F47663">
          <w:rPr>
            <w:webHidden/>
          </w:rPr>
          <w:fldChar w:fldCharType="begin"/>
        </w:r>
        <w:r w:rsidR="00F47663">
          <w:rPr>
            <w:webHidden/>
          </w:rPr>
          <w:instrText xml:space="preserve"> PAGEREF _Toc231235425 \h </w:instrText>
        </w:r>
        <w:r w:rsidR="00F47663">
          <w:rPr>
            <w:webHidden/>
          </w:rPr>
        </w:r>
        <w:r w:rsidR="00F47663">
          <w:rPr>
            <w:webHidden/>
          </w:rPr>
          <w:fldChar w:fldCharType="separate"/>
        </w:r>
        <w:r w:rsidR="00F47663">
          <w:rPr>
            <w:webHidden/>
          </w:rPr>
          <w:t>11</w:t>
        </w:r>
        <w:r w:rsidR="00F47663">
          <w:rPr>
            <w:webHidden/>
          </w:rPr>
          <w:fldChar w:fldCharType="end"/>
        </w:r>
      </w:hyperlink>
    </w:p>
    <w:p w14:paraId="6353F1EE" w14:textId="5D73B2BA"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26" w:history="1">
        <w:r w:rsidR="00F47663" w:rsidRPr="00AB1E94">
          <w:rPr>
            <w:rStyle w:val="Hyperlink"/>
          </w:rPr>
          <w:t>1.6.</w:t>
        </w:r>
        <w:r w:rsidR="00F47663">
          <w:rPr>
            <w:rFonts w:asciiTheme="minorHAnsi" w:eastAsiaTheme="minorEastAsia" w:hAnsiTheme="minorHAnsi" w:cstheme="minorBidi"/>
            <w:sz w:val="24"/>
            <w:szCs w:val="24"/>
            <w:lang w:val="en-IE" w:eastAsia="en-IE"/>
          </w:rPr>
          <w:tab/>
        </w:r>
        <w:r w:rsidR="00F47663" w:rsidRPr="00AB1E94">
          <w:rPr>
            <w:rStyle w:val="Hyperlink"/>
          </w:rPr>
          <w:t>Simplification measures in cohesion funding in the 2021-2027 programming period (DG REGIO, DG EMPL)</w:t>
        </w:r>
        <w:r w:rsidR="00F47663">
          <w:rPr>
            <w:webHidden/>
          </w:rPr>
          <w:tab/>
        </w:r>
        <w:r w:rsidR="00F47663">
          <w:rPr>
            <w:webHidden/>
          </w:rPr>
          <w:fldChar w:fldCharType="begin"/>
        </w:r>
        <w:r w:rsidR="00F47663">
          <w:rPr>
            <w:webHidden/>
          </w:rPr>
          <w:instrText xml:space="preserve"> PAGEREF _Toc231235426 \h </w:instrText>
        </w:r>
        <w:r w:rsidR="00F47663">
          <w:rPr>
            <w:webHidden/>
          </w:rPr>
        </w:r>
        <w:r w:rsidR="00F47663">
          <w:rPr>
            <w:webHidden/>
          </w:rPr>
          <w:fldChar w:fldCharType="separate"/>
        </w:r>
        <w:r w:rsidR="00F47663">
          <w:rPr>
            <w:webHidden/>
          </w:rPr>
          <w:t>12</w:t>
        </w:r>
        <w:r w:rsidR="00F47663">
          <w:rPr>
            <w:webHidden/>
          </w:rPr>
          <w:fldChar w:fldCharType="end"/>
        </w:r>
      </w:hyperlink>
    </w:p>
    <w:p w14:paraId="2675247C" w14:textId="20F6F2C5"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27" w:history="1">
        <w:r w:rsidR="00F47663" w:rsidRPr="00AB1E94">
          <w:rPr>
            <w:rStyle w:val="Hyperlink"/>
          </w:rPr>
          <w:t>1.7.</w:t>
        </w:r>
        <w:r w:rsidR="00F47663">
          <w:rPr>
            <w:rFonts w:asciiTheme="minorHAnsi" w:eastAsiaTheme="minorEastAsia" w:hAnsiTheme="minorHAnsi" w:cstheme="minorBidi"/>
            <w:sz w:val="24"/>
            <w:szCs w:val="24"/>
            <w:lang w:val="en-IE" w:eastAsia="en-IE"/>
          </w:rPr>
          <w:tab/>
        </w:r>
        <w:r w:rsidR="00F47663" w:rsidRPr="00AB1E94">
          <w:rPr>
            <w:rStyle w:val="Hyperlink"/>
          </w:rPr>
          <w:t>Horizon Europe – European Innovation Council grant agreements preparation and award procedures (DG RTD, EISMEA)</w:t>
        </w:r>
        <w:r w:rsidR="00F47663">
          <w:rPr>
            <w:webHidden/>
          </w:rPr>
          <w:tab/>
        </w:r>
        <w:r w:rsidR="00F47663">
          <w:rPr>
            <w:webHidden/>
          </w:rPr>
          <w:fldChar w:fldCharType="begin"/>
        </w:r>
        <w:r w:rsidR="00F47663">
          <w:rPr>
            <w:webHidden/>
          </w:rPr>
          <w:instrText xml:space="preserve"> PAGEREF _Toc231235427 \h </w:instrText>
        </w:r>
        <w:r w:rsidR="00F47663">
          <w:rPr>
            <w:webHidden/>
          </w:rPr>
        </w:r>
        <w:r w:rsidR="00F47663">
          <w:rPr>
            <w:webHidden/>
          </w:rPr>
          <w:fldChar w:fldCharType="separate"/>
        </w:r>
        <w:r w:rsidR="00F47663">
          <w:rPr>
            <w:webHidden/>
          </w:rPr>
          <w:t>13</w:t>
        </w:r>
        <w:r w:rsidR="00F47663">
          <w:rPr>
            <w:webHidden/>
          </w:rPr>
          <w:fldChar w:fldCharType="end"/>
        </w:r>
      </w:hyperlink>
    </w:p>
    <w:p w14:paraId="77056789" w14:textId="00CD7320"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28" w:history="1">
        <w:r w:rsidR="00F47663" w:rsidRPr="00AB1E94">
          <w:rPr>
            <w:rStyle w:val="Hyperlink"/>
          </w:rPr>
          <w:t>1.8.</w:t>
        </w:r>
        <w:r w:rsidR="00F47663">
          <w:rPr>
            <w:rFonts w:asciiTheme="minorHAnsi" w:eastAsiaTheme="minorEastAsia" w:hAnsiTheme="minorHAnsi" w:cstheme="minorBidi"/>
            <w:sz w:val="24"/>
            <w:szCs w:val="24"/>
            <w:lang w:val="en-IE" w:eastAsia="en-IE"/>
          </w:rPr>
          <w:tab/>
        </w:r>
        <w:r w:rsidR="00F47663" w:rsidRPr="00AB1E94">
          <w:rPr>
            <w:rStyle w:val="Hyperlink"/>
          </w:rPr>
          <w:t>Implementation of the Connecting Europe Facility – Transport (DG MOVE, CINEA)</w:t>
        </w:r>
        <w:r w:rsidR="00F47663">
          <w:rPr>
            <w:webHidden/>
          </w:rPr>
          <w:tab/>
        </w:r>
        <w:r w:rsidR="00F47663">
          <w:rPr>
            <w:webHidden/>
          </w:rPr>
          <w:fldChar w:fldCharType="begin"/>
        </w:r>
        <w:r w:rsidR="00F47663">
          <w:rPr>
            <w:webHidden/>
          </w:rPr>
          <w:instrText xml:space="preserve"> PAGEREF _Toc231235428 \h </w:instrText>
        </w:r>
        <w:r w:rsidR="00F47663">
          <w:rPr>
            <w:webHidden/>
          </w:rPr>
        </w:r>
        <w:r w:rsidR="00F47663">
          <w:rPr>
            <w:webHidden/>
          </w:rPr>
          <w:fldChar w:fldCharType="separate"/>
        </w:r>
        <w:r w:rsidR="00F47663">
          <w:rPr>
            <w:webHidden/>
          </w:rPr>
          <w:t>15</w:t>
        </w:r>
        <w:r w:rsidR="00F47663">
          <w:rPr>
            <w:webHidden/>
          </w:rPr>
          <w:fldChar w:fldCharType="end"/>
        </w:r>
      </w:hyperlink>
    </w:p>
    <w:p w14:paraId="2561DF58" w14:textId="261A3E02"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29" w:history="1">
        <w:r w:rsidR="00F47663" w:rsidRPr="00AB1E94">
          <w:rPr>
            <w:rStyle w:val="Hyperlink"/>
          </w:rPr>
          <w:t>1.9.</w:t>
        </w:r>
        <w:r w:rsidR="00F47663">
          <w:rPr>
            <w:rFonts w:asciiTheme="minorHAnsi" w:eastAsiaTheme="minorEastAsia" w:hAnsiTheme="minorHAnsi" w:cstheme="minorBidi"/>
            <w:sz w:val="24"/>
            <w:szCs w:val="24"/>
            <w:lang w:val="en-IE" w:eastAsia="en-IE"/>
          </w:rPr>
          <w:tab/>
        </w:r>
        <w:r w:rsidR="00F47663" w:rsidRPr="00AB1E94">
          <w:rPr>
            <w:rStyle w:val="Hyperlink"/>
          </w:rPr>
          <w:t>Assurance building processes and audit strategy for the 2021-2027 programming period - design (DG HOME)</w:t>
        </w:r>
        <w:r w:rsidR="00F47663">
          <w:rPr>
            <w:webHidden/>
          </w:rPr>
          <w:tab/>
        </w:r>
        <w:r w:rsidR="00F47663">
          <w:rPr>
            <w:webHidden/>
          </w:rPr>
          <w:fldChar w:fldCharType="begin"/>
        </w:r>
        <w:r w:rsidR="00F47663">
          <w:rPr>
            <w:webHidden/>
          </w:rPr>
          <w:instrText xml:space="preserve"> PAGEREF _Toc231235429 \h </w:instrText>
        </w:r>
        <w:r w:rsidR="00F47663">
          <w:rPr>
            <w:webHidden/>
          </w:rPr>
        </w:r>
        <w:r w:rsidR="00F47663">
          <w:rPr>
            <w:webHidden/>
          </w:rPr>
          <w:fldChar w:fldCharType="separate"/>
        </w:r>
        <w:r w:rsidR="00F47663">
          <w:rPr>
            <w:webHidden/>
          </w:rPr>
          <w:t>17</w:t>
        </w:r>
        <w:r w:rsidR="00F47663">
          <w:rPr>
            <w:webHidden/>
          </w:rPr>
          <w:fldChar w:fldCharType="end"/>
        </w:r>
      </w:hyperlink>
    </w:p>
    <w:p w14:paraId="36C1EE17" w14:textId="6B5BF179"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30" w:history="1">
        <w:r w:rsidR="00F47663" w:rsidRPr="00AB1E94">
          <w:rPr>
            <w:rStyle w:val="Hyperlink"/>
          </w:rPr>
          <w:t>1.10.</w:t>
        </w:r>
        <w:r w:rsidR="00F47663">
          <w:rPr>
            <w:rFonts w:asciiTheme="minorHAnsi" w:eastAsiaTheme="minorEastAsia" w:hAnsiTheme="minorHAnsi" w:cstheme="minorBidi"/>
            <w:sz w:val="24"/>
            <w:szCs w:val="24"/>
            <w:lang w:val="en-IE" w:eastAsia="en-IE"/>
          </w:rPr>
          <w:tab/>
        </w:r>
        <w:r w:rsidR="00F47663" w:rsidRPr="00AB1E94">
          <w:rPr>
            <w:rStyle w:val="Hyperlink"/>
          </w:rPr>
          <w:t>Amendments of the Common Agricultural Policy national strategic plans (DG AGRI)</w:t>
        </w:r>
        <w:r w:rsidR="00F47663">
          <w:rPr>
            <w:webHidden/>
          </w:rPr>
          <w:tab/>
        </w:r>
        <w:r w:rsidR="00F47663">
          <w:rPr>
            <w:webHidden/>
          </w:rPr>
          <w:fldChar w:fldCharType="begin"/>
        </w:r>
        <w:r w:rsidR="00F47663">
          <w:rPr>
            <w:webHidden/>
          </w:rPr>
          <w:instrText xml:space="preserve"> PAGEREF _Toc231235430 \h </w:instrText>
        </w:r>
        <w:r w:rsidR="00F47663">
          <w:rPr>
            <w:webHidden/>
          </w:rPr>
        </w:r>
        <w:r w:rsidR="00F47663">
          <w:rPr>
            <w:webHidden/>
          </w:rPr>
          <w:fldChar w:fldCharType="separate"/>
        </w:r>
        <w:r w:rsidR="00F47663">
          <w:rPr>
            <w:webHidden/>
          </w:rPr>
          <w:t>19</w:t>
        </w:r>
        <w:r w:rsidR="00F47663">
          <w:rPr>
            <w:webHidden/>
          </w:rPr>
          <w:fldChar w:fldCharType="end"/>
        </w:r>
      </w:hyperlink>
    </w:p>
    <w:p w14:paraId="48D7A7E5" w14:textId="0AA64208"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31" w:history="1">
        <w:r w:rsidR="00F47663" w:rsidRPr="00AB1E94">
          <w:rPr>
            <w:rStyle w:val="Hyperlink"/>
          </w:rPr>
          <w:t>1.11.</w:t>
        </w:r>
        <w:r w:rsidR="00F47663">
          <w:rPr>
            <w:rFonts w:asciiTheme="minorHAnsi" w:eastAsiaTheme="minorEastAsia" w:hAnsiTheme="minorHAnsi" w:cstheme="minorBidi"/>
            <w:sz w:val="24"/>
            <w:szCs w:val="24"/>
            <w:lang w:val="en-IE" w:eastAsia="en-IE"/>
          </w:rPr>
          <w:tab/>
        </w:r>
        <w:r w:rsidR="00F47663" w:rsidRPr="00AB1E94">
          <w:rPr>
            <w:rStyle w:val="Hyperlink"/>
          </w:rPr>
          <w:t>Design of the performance monitoring and evaluation framework for the Common Agricultural Policy 2023-2027 (DG AGRI)</w:t>
        </w:r>
        <w:r w:rsidR="00F47663">
          <w:rPr>
            <w:webHidden/>
          </w:rPr>
          <w:tab/>
        </w:r>
        <w:r w:rsidR="00F47663">
          <w:rPr>
            <w:webHidden/>
          </w:rPr>
          <w:fldChar w:fldCharType="begin"/>
        </w:r>
        <w:r w:rsidR="00F47663">
          <w:rPr>
            <w:webHidden/>
          </w:rPr>
          <w:instrText xml:space="preserve"> PAGEREF _Toc231235431 \h </w:instrText>
        </w:r>
        <w:r w:rsidR="00F47663">
          <w:rPr>
            <w:webHidden/>
          </w:rPr>
        </w:r>
        <w:r w:rsidR="00F47663">
          <w:rPr>
            <w:webHidden/>
          </w:rPr>
          <w:fldChar w:fldCharType="separate"/>
        </w:r>
        <w:r w:rsidR="00F47663">
          <w:rPr>
            <w:webHidden/>
          </w:rPr>
          <w:t>20</w:t>
        </w:r>
        <w:r w:rsidR="00F47663">
          <w:rPr>
            <w:webHidden/>
          </w:rPr>
          <w:fldChar w:fldCharType="end"/>
        </w:r>
      </w:hyperlink>
    </w:p>
    <w:p w14:paraId="1450D73B" w14:textId="589880E2"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32" w:history="1">
        <w:r w:rsidR="00F47663" w:rsidRPr="00AB1E94">
          <w:rPr>
            <w:rStyle w:val="Hyperlink"/>
          </w:rPr>
          <w:t>1.12.</w:t>
        </w:r>
        <w:r w:rsidR="00F47663">
          <w:rPr>
            <w:rFonts w:asciiTheme="minorHAnsi" w:eastAsiaTheme="minorEastAsia" w:hAnsiTheme="minorHAnsi" w:cstheme="minorBidi"/>
            <w:sz w:val="24"/>
            <w:szCs w:val="24"/>
            <w:lang w:val="en-IE" w:eastAsia="en-IE"/>
          </w:rPr>
          <w:tab/>
        </w:r>
        <w:r w:rsidR="00F47663" w:rsidRPr="00AB1E94">
          <w:rPr>
            <w:rStyle w:val="Hyperlink"/>
          </w:rPr>
          <w:t>Non-Governmental Organisations (NGO) funding under the LIFE programme (DG ENV, DG CLIMA, DG ENER, CINEA)</w:t>
        </w:r>
        <w:r w:rsidR="00F47663">
          <w:rPr>
            <w:webHidden/>
          </w:rPr>
          <w:tab/>
        </w:r>
        <w:r w:rsidR="00F47663">
          <w:rPr>
            <w:webHidden/>
          </w:rPr>
          <w:fldChar w:fldCharType="begin"/>
        </w:r>
        <w:r w:rsidR="00F47663">
          <w:rPr>
            <w:webHidden/>
          </w:rPr>
          <w:instrText xml:space="preserve"> PAGEREF _Toc231235432 \h </w:instrText>
        </w:r>
        <w:r w:rsidR="00F47663">
          <w:rPr>
            <w:webHidden/>
          </w:rPr>
        </w:r>
        <w:r w:rsidR="00F47663">
          <w:rPr>
            <w:webHidden/>
          </w:rPr>
          <w:fldChar w:fldCharType="separate"/>
        </w:r>
        <w:r w:rsidR="00F47663">
          <w:rPr>
            <w:webHidden/>
          </w:rPr>
          <w:t>22</w:t>
        </w:r>
        <w:r w:rsidR="00F47663">
          <w:rPr>
            <w:webHidden/>
          </w:rPr>
          <w:fldChar w:fldCharType="end"/>
        </w:r>
      </w:hyperlink>
    </w:p>
    <w:p w14:paraId="7C5DC081" w14:textId="14641E20"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33" w:history="1">
        <w:r w:rsidR="00F47663" w:rsidRPr="00AB1E94">
          <w:rPr>
            <w:rStyle w:val="Hyperlink"/>
          </w:rPr>
          <w:t>1.13.</w:t>
        </w:r>
        <w:r w:rsidR="00F47663">
          <w:rPr>
            <w:rFonts w:asciiTheme="minorHAnsi" w:eastAsiaTheme="minorEastAsia" w:hAnsiTheme="minorHAnsi" w:cstheme="minorBidi"/>
            <w:sz w:val="24"/>
            <w:szCs w:val="24"/>
            <w:lang w:val="en-IE" w:eastAsia="en-IE"/>
          </w:rPr>
          <w:tab/>
        </w:r>
        <w:r w:rsidR="00F47663" w:rsidRPr="00AB1E94">
          <w:rPr>
            <w:rStyle w:val="Hyperlink"/>
          </w:rPr>
          <w:t>Reliability of audit opinions on the legality and regularity of Erasmus+ expenditure declared by National Agencies (DG EAC)</w:t>
        </w:r>
        <w:r w:rsidR="00F47663">
          <w:rPr>
            <w:webHidden/>
          </w:rPr>
          <w:tab/>
        </w:r>
        <w:r w:rsidR="00F47663">
          <w:rPr>
            <w:webHidden/>
          </w:rPr>
          <w:fldChar w:fldCharType="begin"/>
        </w:r>
        <w:r w:rsidR="00F47663">
          <w:rPr>
            <w:webHidden/>
          </w:rPr>
          <w:instrText xml:space="preserve"> PAGEREF _Toc231235433 \h </w:instrText>
        </w:r>
        <w:r w:rsidR="00F47663">
          <w:rPr>
            <w:webHidden/>
          </w:rPr>
        </w:r>
        <w:r w:rsidR="00F47663">
          <w:rPr>
            <w:webHidden/>
          </w:rPr>
          <w:fldChar w:fldCharType="separate"/>
        </w:r>
        <w:r w:rsidR="00F47663">
          <w:rPr>
            <w:webHidden/>
          </w:rPr>
          <w:t>23</w:t>
        </w:r>
        <w:r w:rsidR="00F47663">
          <w:rPr>
            <w:webHidden/>
          </w:rPr>
          <w:fldChar w:fldCharType="end"/>
        </w:r>
      </w:hyperlink>
    </w:p>
    <w:p w14:paraId="33AF1F68" w14:textId="5A185052"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34" w:history="1">
        <w:r w:rsidR="00F47663" w:rsidRPr="00AB1E94">
          <w:rPr>
            <w:rStyle w:val="Hyperlink"/>
          </w:rPr>
          <w:t>1.14.</w:t>
        </w:r>
        <w:r w:rsidR="00F47663">
          <w:rPr>
            <w:rFonts w:asciiTheme="minorHAnsi" w:eastAsiaTheme="minorEastAsia" w:hAnsiTheme="minorHAnsi" w:cstheme="minorBidi"/>
            <w:sz w:val="24"/>
            <w:szCs w:val="24"/>
            <w:lang w:val="en-IE" w:eastAsia="en-IE"/>
          </w:rPr>
          <w:tab/>
        </w:r>
        <w:r w:rsidR="00F47663" w:rsidRPr="00AB1E94">
          <w:rPr>
            <w:rStyle w:val="Hyperlink"/>
          </w:rPr>
          <w:t>InvestEU Fund – methodology for key performance indicators and key monitoring indicators, controls over indicators and internal steering and cooperation mechanism (DG GROW)</w:t>
        </w:r>
        <w:r w:rsidR="00F47663">
          <w:rPr>
            <w:webHidden/>
          </w:rPr>
          <w:tab/>
        </w:r>
        <w:r w:rsidR="00F47663">
          <w:rPr>
            <w:webHidden/>
          </w:rPr>
          <w:fldChar w:fldCharType="begin"/>
        </w:r>
        <w:r w:rsidR="00F47663">
          <w:rPr>
            <w:webHidden/>
          </w:rPr>
          <w:instrText xml:space="preserve"> PAGEREF _Toc231235434 \h </w:instrText>
        </w:r>
        <w:r w:rsidR="00F47663">
          <w:rPr>
            <w:webHidden/>
          </w:rPr>
        </w:r>
        <w:r w:rsidR="00F47663">
          <w:rPr>
            <w:webHidden/>
          </w:rPr>
          <w:fldChar w:fldCharType="separate"/>
        </w:r>
        <w:r w:rsidR="00F47663">
          <w:rPr>
            <w:webHidden/>
          </w:rPr>
          <w:t>24</w:t>
        </w:r>
        <w:r w:rsidR="00F47663">
          <w:rPr>
            <w:webHidden/>
          </w:rPr>
          <w:fldChar w:fldCharType="end"/>
        </w:r>
      </w:hyperlink>
    </w:p>
    <w:p w14:paraId="6054AD13" w14:textId="0FE72A6C"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35" w:history="1">
        <w:r w:rsidR="00F47663" w:rsidRPr="00AB1E94">
          <w:rPr>
            <w:rStyle w:val="Hyperlink"/>
          </w:rPr>
          <w:t>1.15.</w:t>
        </w:r>
        <w:r w:rsidR="00F47663">
          <w:rPr>
            <w:rFonts w:asciiTheme="minorHAnsi" w:eastAsiaTheme="minorEastAsia" w:hAnsiTheme="minorHAnsi" w:cstheme="minorBidi"/>
            <w:sz w:val="24"/>
            <w:szCs w:val="24"/>
            <w:lang w:val="en-IE" w:eastAsia="en-IE"/>
          </w:rPr>
          <w:tab/>
        </w:r>
        <w:r w:rsidR="00F47663" w:rsidRPr="00AB1E94">
          <w:rPr>
            <w:rStyle w:val="Hyperlink"/>
          </w:rPr>
          <w:t>Control results provided by partners (management declarations) (DG INTPA)</w:t>
        </w:r>
        <w:r w:rsidR="00F47663">
          <w:rPr>
            <w:webHidden/>
          </w:rPr>
          <w:tab/>
        </w:r>
        <w:r w:rsidR="00F47663">
          <w:rPr>
            <w:webHidden/>
          </w:rPr>
          <w:fldChar w:fldCharType="begin"/>
        </w:r>
        <w:r w:rsidR="00F47663">
          <w:rPr>
            <w:webHidden/>
          </w:rPr>
          <w:instrText xml:space="preserve"> PAGEREF _Toc231235435 \h </w:instrText>
        </w:r>
        <w:r w:rsidR="00F47663">
          <w:rPr>
            <w:webHidden/>
          </w:rPr>
        </w:r>
        <w:r w:rsidR="00F47663">
          <w:rPr>
            <w:webHidden/>
          </w:rPr>
          <w:fldChar w:fldCharType="separate"/>
        </w:r>
        <w:r w:rsidR="00F47663">
          <w:rPr>
            <w:webHidden/>
          </w:rPr>
          <w:t>26</w:t>
        </w:r>
        <w:r w:rsidR="00F47663">
          <w:rPr>
            <w:webHidden/>
          </w:rPr>
          <w:fldChar w:fldCharType="end"/>
        </w:r>
      </w:hyperlink>
    </w:p>
    <w:p w14:paraId="2B809901" w14:textId="3938BCDC"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36" w:history="1">
        <w:r w:rsidR="00F47663" w:rsidRPr="00AB1E94">
          <w:rPr>
            <w:rStyle w:val="Hyperlink"/>
          </w:rPr>
          <w:t>1.16.</w:t>
        </w:r>
        <w:r w:rsidR="00F47663">
          <w:rPr>
            <w:rFonts w:asciiTheme="minorHAnsi" w:eastAsiaTheme="minorEastAsia" w:hAnsiTheme="minorHAnsi" w:cstheme="minorBidi"/>
            <w:sz w:val="24"/>
            <w:szCs w:val="24"/>
            <w:lang w:val="en-IE" w:eastAsia="en-IE"/>
          </w:rPr>
          <w:tab/>
        </w:r>
        <w:r w:rsidR="00F47663" w:rsidRPr="00AB1E94">
          <w:rPr>
            <w:rStyle w:val="Hyperlink"/>
          </w:rPr>
          <w:t>Control results provided by partners – management declarations (DG ENEST)</w:t>
        </w:r>
        <w:r w:rsidR="00F47663">
          <w:rPr>
            <w:webHidden/>
          </w:rPr>
          <w:tab/>
        </w:r>
        <w:r w:rsidR="00F47663">
          <w:rPr>
            <w:webHidden/>
          </w:rPr>
          <w:fldChar w:fldCharType="begin"/>
        </w:r>
        <w:r w:rsidR="00F47663">
          <w:rPr>
            <w:webHidden/>
          </w:rPr>
          <w:instrText xml:space="preserve"> PAGEREF _Toc231235436 \h </w:instrText>
        </w:r>
        <w:r w:rsidR="00F47663">
          <w:rPr>
            <w:webHidden/>
          </w:rPr>
        </w:r>
        <w:r w:rsidR="00F47663">
          <w:rPr>
            <w:webHidden/>
          </w:rPr>
          <w:fldChar w:fldCharType="separate"/>
        </w:r>
        <w:r w:rsidR="00F47663">
          <w:rPr>
            <w:webHidden/>
          </w:rPr>
          <w:t>27</w:t>
        </w:r>
        <w:r w:rsidR="00F47663">
          <w:rPr>
            <w:webHidden/>
          </w:rPr>
          <w:fldChar w:fldCharType="end"/>
        </w:r>
      </w:hyperlink>
    </w:p>
    <w:p w14:paraId="7F7A92CD" w14:textId="5D23C863"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37" w:history="1">
        <w:r w:rsidR="00F47663" w:rsidRPr="00AB1E94">
          <w:rPr>
            <w:rStyle w:val="Hyperlink"/>
          </w:rPr>
          <w:t>1.17.</w:t>
        </w:r>
        <w:r w:rsidR="00F47663">
          <w:rPr>
            <w:rFonts w:asciiTheme="minorHAnsi" w:eastAsiaTheme="minorEastAsia" w:hAnsiTheme="minorHAnsi" w:cstheme="minorBidi"/>
            <w:sz w:val="24"/>
            <w:szCs w:val="24"/>
            <w:lang w:val="en-IE" w:eastAsia="en-IE"/>
          </w:rPr>
          <w:tab/>
        </w:r>
        <w:r w:rsidR="00F47663" w:rsidRPr="00AB1E94">
          <w:rPr>
            <w:rStyle w:val="Hyperlink"/>
          </w:rPr>
          <w:t>Financial management – high value procurement and contract management (DG TAXUD)</w:t>
        </w:r>
        <w:r w:rsidR="00F47663">
          <w:rPr>
            <w:webHidden/>
          </w:rPr>
          <w:tab/>
        </w:r>
        <w:r w:rsidR="00F47663">
          <w:rPr>
            <w:webHidden/>
          </w:rPr>
          <w:fldChar w:fldCharType="begin"/>
        </w:r>
        <w:r w:rsidR="00F47663">
          <w:rPr>
            <w:webHidden/>
          </w:rPr>
          <w:instrText xml:space="preserve"> PAGEREF _Toc231235437 \h </w:instrText>
        </w:r>
        <w:r w:rsidR="00F47663">
          <w:rPr>
            <w:webHidden/>
          </w:rPr>
        </w:r>
        <w:r w:rsidR="00F47663">
          <w:rPr>
            <w:webHidden/>
          </w:rPr>
          <w:fldChar w:fldCharType="separate"/>
        </w:r>
        <w:r w:rsidR="00F47663">
          <w:rPr>
            <w:webHidden/>
          </w:rPr>
          <w:t>28</w:t>
        </w:r>
        <w:r w:rsidR="00F47663">
          <w:rPr>
            <w:webHidden/>
          </w:rPr>
          <w:fldChar w:fldCharType="end"/>
        </w:r>
      </w:hyperlink>
    </w:p>
    <w:p w14:paraId="1C5EC1B4" w14:textId="584419D8"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38" w:history="1">
        <w:r w:rsidR="00F47663" w:rsidRPr="00AB1E94">
          <w:rPr>
            <w:rStyle w:val="Hyperlink"/>
            <w:lang w:val="fr-FR"/>
          </w:rPr>
          <w:t>1.18.</w:t>
        </w:r>
        <w:r w:rsidR="00F47663">
          <w:rPr>
            <w:rFonts w:asciiTheme="minorHAnsi" w:eastAsiaTheme="minorEastAsia" w:hAnsiTheme="minorHAnsi" w:cstheme="minorBidi"/>
            <w:sz w:val="24"/>
            <w:szCs w:val="24"/>
            <w:lang w:val="en-IE" w:eastAsia="en-IE"/>
          </w:rPr>
          <w:tab/>
        </w:r>
        <w:r w:rsidR="00F47663" w:rsidRPr="00AB1E94">
          <w:rPr>
            <w:rStyle w:val="Hyperlink"/>
            <w:lang w:val="fr-FR"/>
          </w:rPr>
          <w:t>Financial management – Grants (DG TAXUD)</w:t>
        </w:r>
        <w:r w:rsidR="00F47663">
          <w:rPr>
            <w:webHidden/>
          </w:rPr>
          <w:tab/>
        </w:r>
        <w:r w:rsidR="00F47663">
          <w:rPr>
            <w:webHidden/>
          </w:rPr>
          <w:fldChar w:fldCharType="begin"/>
        </w:r>
        <w:r w:rsidR="00F47663">
          <w:rPr>
            <w:webHidden/>
          </w:rPr>
          <w:instrText xml:space="preserve"> PAGEREF _Toc231235438 \h </w:instrText>
        </w:r>
        <w:r w:rsidR="00F47663">
          <w:rPr>
            <w:webHidden/>
          </w:rPr>
        </w:r>
        <w:r w:rsidR="00F47663">
          <w:rPr>
            <w:webHidden/>
          </w:rPr>
          <w:fldChar w:fldCharType="separate"/>
        </w:r>
        <w:r w:rsidR="00F47663">
          <w:rPr>
            <w:webHidden/>
          </w:rPr>
          <w:t>31</w:t>
        </w:r>
        <w:r w:rsidR="00F47663">
          <w:rPr>
            <w:webHidden/>
          </w:rPr>
          <w:fldChar w:fldCharType="end"/>
        </w:r>
      </w:hyperlink>
    </w:p>
    <w:p w14:paraId="7A39DA59" w14:textId="7001307C"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39" w:history="1">
        <w:r w:rsidR="00F47663" w:rsidRPr="00AB1E94">
          <w:rPr>
            <w:rStyle w:val="Hyperlink"/>
          </w:rPr>
          <w:t>1.19.</w:t>
        </w:r>
        <w:r w:rsidR="00F47663">
          <w:rPr>
            <w:rFonts w:asciiTheme="minorHAnsi" w:eastAsiaTheme="minorEastAsia" w:hAnsiTheme="minorHAnsi" w:cstheme="minorBidi"/>
            <w:sz w:val="24"/>
            <w:szCs w:val="24"/>
            <w:lang w:val="en-IE" w:eastAsia="en-IE"/>
          </w:rPr>
          <w:tab/>
        </w:r>
        <w:r w:rsidR="00F47663" w:rsidRPr="00AB1E94">
          <w:rPr>
            <w:rStyle w:val="Hyperlink"/>
          </w:rPr>
          <w:t>Controls over aid to countries covered by a crisis declaration (DG MENA)</w:t>
        </w:r>
        <w:r w:rsidR="00F47663">
          <w:rPr>
            <w:webHidden/>
          </w:rPr>
          <w:tab/>
        </w:r>
        <w:r w:rsidR="00F47663">
          <w:rPr>
            <w:webHidden/>
          </w:rPr>
          <w:fldChar w:fldCharType="begin"/>
        </w:r>
        <w:r w:rsidR="00F47663">
          <w:rPr>
            <w:webHidden/>
          </w:rPr>
          <w:instrText xml:space="preserve"> PAGEREF _Toc231235439 \h </w:instrText>
        </w:r>
        <w:r w:rsidR="00F47663">
          <w:rPr>
            <w:webHidden/>
          </w:rPr>
        </w:r>
        <w:r w:rsidR="00F47663">
          <w:rPr>
            <w:webHidden/>
          </w:rPr>
          <w:fldChar w:fldCharType="separate"/>
        </w:r>
        <w:r w:rsidR="00F47663">
          <w:rPr>
            <w:webHidden/>
          </w:rPr>
          <w:t>32</w:t>
        </w:r>
        <w:r w:rsidR="00F47663">
          <w:rPr>
            <w:webHidden/>
          </w:rPr>
          <w:fldChar w:fldCharType="end"/>
        </w:r>
      </w:hyperlink>
    </w:p>
    <w:p w14:paraId="187A7EDF" w14:textId="437FE2DD"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40" w:history="1">
        <w:r w:rsidR="00F47663" w:rsidRPr="00AB1E94">
          <w:rPr>
            <w:rStyle w:val="Hyperlink"/>
          </w:rPr>
          <w:t>1.20.</w:t>
        </w:r>
        <w:r w:rsidR="00F47663">
          <w:rPr>
            <w:rFonts w:asciiTheme="minorHAnsi" w:eastAsiaTheme="minorEastAsia" w:hAnsiTheme="minorHAnsi" w:cstheme="minorBidi"/>
            <w:sz w:val="24"/>
            <w:szCs w:val="24"/>
            <w:lang w:val="en-IE" w:eastAsia="en-IE"/>
          </w:rPr>
          <w:tab/>
        </w:r>
        <w:r w:rsidR="00F47663" w:rsidRPr="00AB1E94">
          <w:rPr>
            <w:rStyle w:val="Hyperlink"/>
          </w:rPr>
          <w:t xml:space="preserve">Recovery and Resilience Facility risk assessment methodology and </w:t>
        </w:r>
        <w:r w:rsidR="00F47663" w:rsidRPr="00AB1E94">
          <w:rPr>
            <w:rStyle w:val="Hyperlink"/>
            <w:i/>
            <w:iCs/>
          </w:rPr>
          <w:t>ex</w:t>
        </w:r>
        <w:r w:rsidR="00F47663" w:rsidRPr="00AB1E94">
          <w:rPr>
            <w:rStyle w:val="Hyperlink"/>
          </w:rPr>
          <w:t xml:space="preserve"> </w:t>
        </w:r>
        <w:r w:rsidR="00F47663" w:rsidRPr="00AB1E94">
          <w:rPr>
            <w:rStyle w:val="Hyperlink"/>
            <w:i/>
            <w:iCs/>
          </w:rPr>
          <w:t>post</w:t>
        </w:r>
        <w:r w:rsidR="00F47663" w:rsidRPr="00AB1E94">
          <w:rPr>
            <w:rStyle w:val="Hyperlink"/>
          </w:rPr>
          <w:t xml:space="preserve"> audits (DG ECFIN)</w:t>
        </w:r>
        <w:r w:rsidR="00F47663">
          <w:rPr>
            <w:webHidden/>
          </w:rPr>
          <w:tab/>
        </w:r>
        <w:r w:rsidR="00F47663">
          <w:rPr>
            <w:webHidden/>
          </w:rPr>
          <w:fldChar w:fldCharType="begin"/>
        </w:r>
        <w:r w:rsidR="00F47663">
          <w:rPr>
            <w:webHidden/>
          </w:rPr>
          <w:instrText xml:space="preserve"> PAGEREF _Toc231235440 \h </w:instrText>
        </w:r>
        <w:r w:rsidR="00F47663">
          <w:rPr>
            <w:webHidden/>
          </w:rPr>
        </w:r>
        <w:r w:rsidR="00F47663">
          <w:rPr>
            <w:webHidden/>
          </w:rPr>
          <w:fldChar w:fldCharType="separate"/>
        </w:r>
        <w:r w:rsidR="00F47663">
          <w:rPr>
            <w:webHidden/>
          </w:rPr>
          <w:t>33</w:t>
        </w:r>
        <w:r w:rsidR="00F47663">
          <w:rPr>
            <w:webHidden/>
          </w:rPr>
          <w:fldChar w:fldCharType="end"/>
        </w:r>
      </w:hyperlink>
    </w:p>
    <w:p w14:paraId="2E61F247" w14:textId="55839F89" w:rsidR="00F47663" w:rsidRDefault="00B11637">
      <w:pPr>
        <w:pStyle w:val="TOC2"/>
        <w:rPr>
          <w:rFonts w:asciiTheme="minorHAnsi" w:eastAsiaTheme="minorEastAsia" w:hAnsiTheme="minorHAnsi" w:cstheme="minorBidi"/>
          <w:b w:val="0"/>
          <w:noProof/>
          <w:color w:val="auto"/>
          <w:sz w:val="24"/>
          <w:szCs w:val="24"/>
          <w:lang w:val="en-IE" w:eastAsia="en-IE"/>
        </w:rPr>
      </w:pPr>
      <w:hyperlink w:anchor="_Toc231235441" w:history="1">
        <w:r w:rsidR="00F47663" w:rsidRPr="00AB1E94">
          <w:rPr>
            <w:rStyle w:val="Hyperlink"/>
            <w:noProof/>
          </w:rPr>
          <w:t>Operational Processes</w:t>
        </w:r>
        <w:r w:rsidR="00F47663">
          <w:rPr>
            <w:noProof/>
            <w:webHidden/>
          </w:rPr>
          <w:tab/>
        </w:r>
        <w:r w:rsidR="00F47663">
          <w:rPr>
            <w:noProof/>
            <w:webHidden/>
          </w:rPr>
          <w:fldChar w:fldCharType="begin"/>
        </w:r>
        <w:r w:rsidR="00F47663">
          <w:rPr>
            <w:noProof/>
            <w:webHidden/>
          </w:rPr>
          <w:instrText xml:space="preserve"> PAGEREF _Toc231235441 \h </w:instrText>
        </w:r>
        <w:r w:rsidR="00F47663">
          <w:rPr>
            <w:noProof/>
            <w:webHidden/>
          </w:rPr>
        </w:r>
        <w:r w:rsidR="00F47663">
          <w:rPr>
            <w:noProof/>
            <w:webHidden/>
          </w:rPr>
          <w:fldChar w:fldCharType="separate"/>
        </w:r>
        <w:r w:rsidR="00F47663">
          <w:rPr>
            <w:noProof/>
            <w:webHidden/>
          </w:rPr>
          <w:t>36</w:t>
        </w:r>
        <w:r w:rsidR="00F47663">
          <w:rPr>
            <w:noProof/>
            <w:webHidden/>
          </w:rPr>
          <w:fldChar w:fldCharType="end"/>
        </w:r>
      </w:hyperlink>
    </w:p>
    <w:p w14:paraId="7E984948" w14:textId="5F846264"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42" w:history="1">
        <w:r w:rsidR="00F47663" w:rsidRPr="00AB1E94">
          <w:rPr>
            <w:rStyle w:val="Hyperlink"/>
          </w:rPr>
          <w:t>1.21.</w:t>
        </w:r>
        <w:r w:rsidR="00F47663">
          <w:rPr>
            <w:rFonts w:asciiTheme="minorHAnsi" w:eastAsiaTheme="minorEastAsia" w:hAnsiTheme="minorHAnsi" w:cstheme="minorBidi"/>
            <w:sz w:val="24"/>
            <w:szCs w:val="24"/>
            <w:lang w:val="en-IE" w:eastAsia="en-IE"/>
          </w:rPr>
          <w:tab/>
        </w:r>
        <w:r w:rsidR="00F47663" w:rsidRPr="00AB1E94">
          <w:rPr>
            <w:rStyle w:val="Hyperlink"/>
          </w:rPr>
          <w:t>Personnel selection process (EPSO)</w:t>
        </w:r>
        <w:r w:rsidR="00F47663">
          <w:rPr>
            <w:webHidden/>
          </w:rPr>
          <w:tab/>
        </w:r>
        <w:r w:rsidR="00F47663">
          <w:rPr>
            <w:webHidden/>
          </w:rPr>
          <w:fldChar w:fldCharType="begin"/>
        </w:r>
        <w:r w:rsidR="00F47663">
          <w:rPr>
            <w:webHidden/>
          </w:rPr>
          <w:instrText xml:space="preserve"> PAGEREF _Toc231235442 \h </w:instrText>
        </w:r>
        <w:r w:rsidR="00F47663">
          <w:rPr>
            <w:webHidden/>
          </w:rPr>
        </w:r>
        <w:r w:rsidR="00F47663">
          <w:rPr>
            <w:webHidden/>
          </w:rPr>
          <w:fldChar w:fldCharType="separate"/>
        </w:r>
        <w:r w:rsidR="00F47663">
          <w:rPr>
            <w:webHidden/>
          </w:rPr>
          <w:t>36</w:t>
        </w:r>
        <w:r w:rsidR="00F47663">
          <w:rPr>
            <w:webHidden/>
          </w:rPr>
          <w:fldChar w:fldCharType="end"/>
        </w:r>
      </w:hyperlink>
    </w:p>
    <w:p w14:paraId="334057E7" w14:textId="6FF6EB03"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43" w:history="1">
        <w:r w:rsidR="00F47663" w:rsidRPr="00AB1E94">
          <w:rPr>
            <w:rStyle w:val="Hyperlink"/>
          </w:rPr>
          <w:t>1.22.</w:t>
        </w:r>
        <w:r w:rsidR="00F47663">
          <w:rPr>
            <w:rFonts w:asciiTheme="minorHAnsi" w:eastAsiaTheme="minorEastAsia" w:hAnsiTheme="minorHAnsi" w:cstheme="minorBidi"/>
            <w:sz w:val="24"/>
            <w:szCs w:val="24"/>
            <w:lang w:val="en-IE" w:eastAsia="en-IE"/>
          </w:rPr>
          <w:tab/>
        </w:r>
        <w:r w:rsidR="00F47663" w:rsidRPr="00AB1E94">
          <w:rPr>
            <w:rStyle w:val="Hyperlink"/>
          </w:rPr>
          <w:t>Management of childcare services (OIB, OIL)</w:t>
        </w:r>
        <w:r w:rsidR="00F47663">
          <w:rPr>
            <w:webHidden/>
          </w:rPr>
          <w:tab/>
        </w:r>
        <w:r w:rsidR="00F47663">
          <w:rPr>
            <w:webHidden/>
          </w:rPr>
          <w:fldChar w:fldCharType="begin"/>
        </w:r>
        <w:r w:rsidR="00F47663">
          <w:rPr>
            <w:webHidden/>
          </w:rPr>
          <w:instrText xml:space="preserve"> PAGEREF _Toc231235443 \h </w:instrText>
        </w:r>
        <w:r w:rsidR="00F47663">
          <w:rPr>
            <w:webHidden/>
          </w:rPr>
        </w:r>
        <w:r w:rsidR="00F47663">
          <w:rPr>
            <w:webHidden/>
          </w:rPr>
          <w:fldChar w:fldCharType="separate"/>
        </w:r>
        <w:r w:rsidR="00F47663">
          <w:rPr>
            <w:webHidden/>
          </w:rPr>
          <w:t>37</w:t>
        </w:r>
        <w:r w:rsidR="00F47663">
          <w:rPr>
            <w:webHidden/>
          </w:rPr>
          <w:fldChar w:fldCharType="end"/>
        </w:r>
      </w:hyperlink>
    </w:p>
    <w:p w14:paraId="4678FF6D" w14:textId="7816D13B"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44" w:history="1">
        <w:r w:rsidR="00F47663" w:rsidRPr="00AB1E94">
          <w:rPr>
            <w:rStyle w:val="Hyperlink"/>
          </w:rPr>
          <w:t>1.23.</w:t>
        </w:r>
        <w:r w:rsidR="00F47663">
          <w:rPr>
            <w:rFonts w:asciiTheme="minorHAnsi" w:eastAsiaTheme="minorEastAsia" w:hAnsiTheme="minorHAnsi" w:cstheme="minorBidi"/>
            <w:sz w:val="24"/>
            <w:szCs w:val="24"/>
            <w:lang w:val="en-IE" w:eastAsia="en-IE"/>
          </w:rPr>
          <w:tab/>
        </w:r>
        <w:r w:rsidR="00F47663" w:rsidRPr="00AB1E94">
          <w:rPr>
            <w:rStyle w:val="Hyperlink"/>
          </w:rPr>
          <w:t>Coordination between DG FISMA and European Supervisory Authorities (DG FISMA)</w:t>
        </w:r>
        <w:r w:rsidR="00F47663">
          <w:rPr>
            <w:webHidden/>
          </w:rPr>
          <w:tab/>
        </w:r>
        <w:r w:rsidR="00F47663">
          <w:rPr>
            <w:webHidden/>
          </w:rPr>
          <w:fldChar w:fldCharType="begin"/>
        </w:r>
        <w:r w:rsidR="00F47663">
          <w:rPr>
            <w:webHidden/>
          </w:rPr>
          <w:instrText xml:space="preserve"> PAGEREF _Toc231235444 \h </w:instrText>
        </w:r>
        <w:r w:rsidR="00F47663">
          <w:rPr>
            <w:webHidden/>
          </w:rPr>
        </w:r>
        <w:r w:rsidR="00F47663">
          <w:rPr>
            <w:webHidden/>
          </w:rPr>
          <w:fldChar w:fldCharType="separate"/>
        </w:r>
        <w:r w:rsidR="00F47663">
          <w:rPr>
            <w:webHidden/>
          </w:rPr>
          <w:t>39</w:t>
        </w:r>
        <w:r w:rsidR="00F47663">
          <w:rPr>
            <w:webHidden/>
          </w:rPr>
          <w:fldChar w:fldCharType="end"/>
        </w:r>
      </w:hyperlink>
    </w:p>
    <w:p w14:paraId="2AEBCF84" w14:textId="3FA30511"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45" w:history="1">
        <w:r w:rsidR="00F47663" w:rsidRPr="00AB1E94">
          <w:rPr>
            <w:rStyle w:val="Hyperlink"/>
          </w:rPr>
          <w:t>1.24.</w:t>
        </w:r>
        <w:r w:rsidR="00F47663">
          <w:rPr>
            <w:rFonts w:asciiTheme="minorHAnsi" w:eastAsiaTheme="minorEastAsia" w:hAnsiTheme="minorHAnsi" w:cstheme="minorBidi"/>
            <w:sz w:val="24"/>
            <w:szCs w:val="24"/>
            <w:lang w:val="en-IE" w:eastAsia="en-IE"/>
          </w:rPr>
          <w:tab/>
        </w:r>
        <w:r w:rsidR="00F47663" w:rsidRPr="00AB1E94">
          <w:rPr>
            <w:rStyle w:val="Hyperlink"/>
          </w:rPr>
          <w:t>Management of the control data of the Common Fisheries Policy (DG MARE)</w:t>
        </w:r>
        <w:r w:rsidR="00F47663">
          <w:rPr>
            <w:webHidden/>
          </w:rPr>
          <w:tab/>
        </w:r>
        <w:r w:rsidR="00F47663">
          <w:rPr>
            <w:webHidden/>
          </w:rPr>
          <w:fldChar w:fldCharType="begin"/>
        </w:r>
        <w:r w:rsidR="00F47663">
          <w:rPr>
            <w:webHidden/>
          </w:rPr>
          <w:instrText xml:space="preserve"> PAGEREF _Toc231235445 \h </w:instrText>
        </w:r>
        <w:r w:rsidR="00F47663">
          <w:rPr>
            <w:webHidden/>
          </w:rPr>
        </w:r>
        <w:r w:rsidR="00F47663">
          <w:rPr>
            <w:webHidden/>
          </w:rPr>
          <w:fldChar w:fldCharType="separate"/>
        </w:r>
        <w:r w:rsidR="00F47663">
          <w:rPr>
            <w:webHidden/>
          </w:rPr>
          <w:t>41</w:t>
        </w:r>
        <w:r w:rsidR="00F47663">
          <w:rPr>
            <w:webHidden/>
          </w:rPr>
          <w:fldChar w:fldCharType="end"/>
        </w:r>
      </w:hyperlink>
    </w:p>
    <w:p w14:paraId="3384C967" w14:textId="46ACF849"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46" w:history="1">
        <w:r w:rsidR="00F47663" w:rsidRPr="00AB1E94">
          <w:rPr>
            <w:rStyle w:val="Hyperlink"/>
          </w:rPr>
          <w:t>1.25.</w:t>
        </w:r>
        <w:r w:rsidR="00F47663">
          <w:rPr>
            <w:rFonts w:asciiTheme="minorHAnsi" w:eastAsiaTheme="minorEastAsia" w:hAnsiTheme="minorHAnsi" w:cstheme="minorBidi"/>
            <w:sz w:val="24"/>
            <w:szCs w:val="24"/>
            <w:lang w:val="en-IE" w:eastAsia="en-IE"/>
          </w:rPr>
          <w:tab/>
        </w:r>
        <w:r w:rsidR="00F47663" w:rsidRPr="00AB1E94">
          <w:rPr>
            <w:rStyle w:val="Hyperlink"/>
          </w:rPr>
          <w:t>Management of EURES and the EURES portal (DG EMPL)</w:t>
        </w:r>
        <w:r w:rsidR="00F47663">
          <w:rPr>
            <w:webHidden/>
          </w:rPr>
          <w:tab/>
        </w:r>
        <w:r w:rsidR="00F47663">
          <w:rPr>
            <w:webHidden/>
          </w:rPr>
          <w:fldChar w:fldCharType="begin"/>
        </w:r>
        <w:r w:rsidR="00F47663">
          <w:rPr>
            <w:webHidden/>
          </w:rPr>
          <w:instrText xml:space="preserve"> PAGEREF _Toc231235446 \h </w:instrText>
        </w:r>
        <w:r w:rsidR="00F47663">
          <w:rPr>
            <w:webHidden/>
          </w:rPr>
        </w:r>
        <w:r w:rsidR="00F47663">
          <w:rPr>
            <w:webHidden/>
          </w:rPr>
          <w:fldChar w:fldCharType="separate"/>
        </w:r>
        <w:r w:rsidR="00F47663">
          <w:rPr>
            <w:webHidden/>
          </w:rPr>
          <w:t>43</w:t>
        </w:r>
        <w:r w:rsidR="00F47663">
          <w:rPr>
            <w:webHidden/>
          </w:rPr>
          <w:fldChar w:fldCharType="end"/>
        </w:r>
      </w:hyperlink>
    </w:p>
    <w:p w14:paraId="082F5514" w14:textId="367BD43F"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47" w:history="1">
        <w:r w:rsidR="00F47663" w:rsidRPr="00AB1E94">
          <w:rPr>
            <w:rStyle w:val="Hyperlink"/>
          </w:rPr>
          <w:t>1.26.</w:t>
        </w:r>
        <w:r w:rsidR="00F47663">
          <w:rPr>
            <w:rFonts w:asciiTheme="minorHAnsi" w:eastAsiaTheme="minorEastAsia" w:hAnsiTheme="minorHAnsi" w:cstheme="minorBidi"/>
            <w:sz w:val="24"/>
            <w:szCs w:val="24"/>
            <w:lang w:val="en-IE" w:eastAsia="en-IE"/>
          </w:rPr>
          <w:tab/>
        </w:r>
        <w:r w:rsidR="00F47663" w:rsidRPr="00AB1E94">
          <w:rPr>
            <w:rStyle w:val="Hyperlink"/>
          </w:rPr>
          <w:t>Management of in-kind contributions under Horizon Europe (DG RTD)</w:t>
        </w:r>
        <w:r w:rsidR="00F47663">
          <w:rPr>
            <w:webHidden/>
          </w:rPr>
          <w:tab/>
        </w:r>
        <w:r w:rsidR="00F47663">
          <w:rPr>
            <w:webHidden/>
          </w:rPr>
          <w:fldChar w:fldCharType="begin"/>
        </w:r>
        <w:r w:rsidR="00F47663">
          <w:rPr>
            <w:webHidden/>
          </w:rPr>
          <w:instrText xml:space="preserve"> PAGEREF _Toc231235447 \h </w:instrText>
        </w:r>
        <w:r w:rsidR="00F47663">
          <w:rPr>
            <w:webHidden/>
          </w:rPr>
        </w:r>
        <w:r w:rsidR="00F47663">
          <w:rPr>
            <w:webHidden/>
          </w:rPr>
          <w:fldChar w:fldCharType="separate"/>
        </w:r>
        <w:r w:rsidR="00F47663">
          <w:rPr>
            <w:webHidden/>
          </w:rPr>
          <w:t>44</w:t>
        </w:r>
        <w:r w:rsidR="00F47663">
          <w:rPr>
            <w:webHidden/>
          </w:rPr>
          <w:fldChar w:fldCharType="end"/>
        </w:r>
      </w:hyperlink>
    </w:p>
    <w:p w14:paraId="1ADF9FE2" w14:textId="1E461AE7" w:rsidR="00F47663" w:rsidRDefault="00B11637">
      <w:pPr>
        <w:pStyle w:val="TOC2"/>
        <w:rPr>
          <w:rFonts w:asciiTheme="minorHAnsi" w:eastAsiaTheme="minorEastAsia" w:hAnsiTheme="minorHAnsi" w:cstheme="minorBidi"/>
          <w:b w:val="0"/>
          <w:noProof/>
          <w:color w:val="auto"/>
          <w:sz w:val="24"/>
          <w:szCs w:val="24"/>
          <w:lang w:val="en-IE" w:eastAsia="en-IE"/>
        </w:rPr>
      </w:pPr>
      <w:hyperlink w:anchor="_Toc231235448" w:history="1">
        <w:r w:rsidR="00F47663" w:rsidRPr="00AB1E94">
          <w:rPr>
            <w:rStyle w:val="Hyperlink"/>
            <w:noProof/>
          </w:rPr>
          <w:t>Support Processes</w:t>
        </w:r>
        <w:r w:rsidR="00F47663">
          <w:rPr>
            <w:noProof/>
            <w:webHidden/>
          </w:rPr>
          <w:tab/>
        </w:r>
        <w:r w:rsidR="00F47663">
          <w:rPr>
            <w:noProof/>
            <w:webHidden/>
          </w:rPr>
          <w:fldChar w:fldCharType="begin"/>
        </w:r>
        <w:r w:rsidR="00F47663">
          <w:rPr>
            <w:noProof/>
            <w:webHidden/>
          </w:rPr>
          <w:instrText xml:space="preserve"> PAGEREF _Toc231235448 \h </w:instrText>
        </w:r>
        <w:r w:rsidR="00F47663">
          <w:rPr>
            <w:noProof/>
            <w:webHidden/>
          </w:rPr>
        </w:r>
        <w:r w:rsidR="00F47663">
          <w:rPr>
            <w:noProof/>
            <w:webHidden/>
          </w:rPr>
          <w:fldChar w:fldCharType="separate"/>
        </w:r>
        <w:r w:rsidR="00F47663">
          <w:rPr>
            <w:noProof/>
            <w:webHidden/>
          </w:rPr>
          <w:t>46</w:t>
        </w:r>
        <w:r w:rsidR="00F47663">
          <w:rPr>
            <w:noProof/>
            <w:webHidden/>
          </w:rPr>
          <w:fldChar w:fldCharType="end"/>
        </w:r>
      </w:hyperlink>
    </w:p>
    <w:p w14:paraId="10055CBF" w14:textId="6F607669"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49" w:history="1">
        <w:r w:rsidR="00F47663" w:rsidRPr="00AB1E94">
          <w:rPr>
            <w:rStyle w:val="Hyperlink"/>
          </w:rPr>
          <w:t>1.27.</w:t>
        </w:r>
        <w:r w:rsidR="00F47663">
          <w:rPr>
            <w:rFonts w:asciiTheme="minorHAnsi" w:eastAsiaTheme="minorEastAsia" w:hAnsiTheme="minorHAnsi" w:cstheme="minorBidi"/>
            <w:sz w:val="24"/>
            <w:szCs w:val="24"/>
            <w:lang w:val="en-IE" w:eastAsia="en-IE"/>
          </w:rPr>
          <w:tab/>
        </w:r>
        <w:r w:rsidR="00F47663" w:rsidRPr="00AB1E94">
          <w:rPr>
            <w:rStyle w:val="Hyperlink"/>
          </w:rPr>
          <w:t>Information technology (IT) governance and IT security management (DG DEFIS)</w:t>
        </w:r>
        <w:r w:rsidR="00F47663">
          <w:rPr>
            <w:webHidden/>
          </w:rPr>
          <w:tab/>
        </w:r>
        <w:r w:rsidR="00F47663">
          <w:rPr>
            <w:webHidden/>
          </w:rPr>
          <w:fldChar w:fldCharType="begin"/>
        </w:r>
        <w:r w:rsidR="00F47663">
          <w:rPr>
            <w:webHidden/>
          </w:rPr>
          <w:instrText xml:space="preserve"> PAGEREF _Toc231235449 \h </w:instrText>
        </w:r>
        <w:r w:rsidR="00F47663">
          <w:rPr>
            <w:webHidden/>
          </w:rPr>
        </w:r>
        <w:r w:rsidR="00F47663">
          <w:rPr>
            <w:webHidden/>
          </w:rPr>
          <w:fldChar w:fldCharType="separate"/>
        </w:r>
        <w:r w:rsidR="00F47663">
          <w:rPr>
            <w:webHidden/>
          </w:rPr>
          <w:t>46</w:t>
        </w:r>
        <w:r w:rsidR="00F47663">
          <w:rPr>
            <w:webHidden/>
          </w:rPr>
          <w:fldChar w:fldCharType="end"/>
        </w:r>
      </w:hyperlink>
    </w:p>
    <w:p w14:paraId="38C3D557" w14:textId="69EBCC6C"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50" w:history="1">
        <w:r w:rsidR="00F47663" w:rsidRPr="00AB1E94">
          <w:rPr>
            <w:rStyle w:val="Hyperlink"/>
          </w:rPr>
          <w:t>1.28.</w:t>
        </w:r>
        <w:r w:rsidR="00F47663">
          <w:rPr>
            <w:rFonts w:asciiTheme="minorHAnsi" w:eastAsiaTheme="minorEastAsia" w:hAnsiTheme="minorHAnsi" w:cstheme="minorBidi"/>
            <w:sz w:val="24"/>
            <w:szCs w:val="24"/>
            <w:lang w:val="en-IE" w:eastAsia="en-IE"/>
          </w:rPr>
          <w:tab/>
        </w:r>
        <w:r w:rsidR="00F47663" w:rsidRPr="00AB1E94">
          <w:rPr>
            <w:rStyle w:val="Hyperlink"/>
          </w:rPr>
          <w:t>Arachne+ project (DG BUDG, DG EMPL/DG REGIO, DG DIGIT)</w:t>
        </w:r>
        <w:r w:rsidR="00F47663">
          <w:rPr>
            <w:webHidden/>
          </w:rPr>
          <w:tab/>
        </w:r>
        <w:r w:rsidR="00F47663">
          <w:rPr>
            <w:webHidden/>
          </w:rPr>
          <w:fldChar w:fldCharType="begin"/>
        </w:r>
        <w:r w:rsidR="00F47663">
          <w:rPr>
            <w:webHidden/>
          </w:rPr>
          <w:instrText xml:space="preserve"> PAGEREF _Toc231235450 \h </w:instrText>
        </w:r>
        <w:r w:rsidR="00F47663">
          <w:rPr>
            <w:webHidden/>
          </w:rPr>
        </w:r>
        <w:r w:rsidR="00F47663">
          <w:rPr>
            <w:webHidden/>
          </w:rPr>
          <w:fldChar w:fldCharType="separate"/>
        </w:r>
        <w:r w:rsidR="00F47663">
          <w:rPr>
            <w:webHidden/>
          </w:rPr>
          <w:t>47</w:t>
        </w:r>
        <w:r w:rsidR="00F47663">
          <w:rPr>
            <w:webHidden/>
          </w:rPr>
          <w:fldChar w:fldCharType="end"/>
        </w:r>
      </w:hyperlink>
    </w:p>
    <w:p w14:paraId="4BDC4F29" w14:textId="3AB658C9"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51" w:history="1">
        <w:r w:rsidR="00F47663" w:rsidRPr="00AB1E94">
          <w:rPr>
            <w:rStyle w:val="Hyperlink"/>
          </w:rPr>
          <w:t>1.29.</w:t>
        </w:r>
        <w:r w:rsidR="00F47663">
          <w:rPr>
            <w:rFonts w:asciiTheme="minorHAnsi" w:eastAsiaTheme="minorEastAsia" w:hAnsiTheme="minorHAnsi" w:cstheme="minorBidi"/>
            <w:sz w:val="24"/>
            <w:szCs w:val="24"/>
            <w:lang w:val="en-IE" w:eastAsia="en-IE"/>
          </w:rPr>
          <w:tab/>
        </w:r>
        <w:r w:rsidR="00F47663" w:rsidRPr="00AB1E94">
          <w:rPr>
            <w:rStyle w:val="Hyperlink"/>
          </w:rPr>
          <w:t>Human Resources Transformation programme (DG HR)</w:t>
        </w:r>
        <w:r w:rsidR="00F47663">
          <w:rPr>
            <w:webHidden/>
          </w:rPr>
          <w:tab/>
        </w:r>
        <w:r w:rsidR="00F47663">
          <w:rPr>
            <w:webHidden/>
          </w:rPr>
          <w:fldChar w:fldCharType="begin"/>
        </w:r>
        <w:r w:rsidR="00F47663">
          <w:rPr>
            <w:webHidden/>
          </w:rPr>
          <w:instrText xml:space="preserve"> PAGEREF _Toc231235451 \h </w:instrText>
        </w:r>
        <w:r w:rsidR="00F47663">
          <w:rPr>
            <w:webHidden/>
          </w:rPr>
        </w:r>
        <w:r w:rsidR="00F47663">
          <w:rPr>
            <w:webHidden/>
          </w:rPr>
          <w:fldChar w:fldCharType="separate"/>
        </w:r>
        <w:r w:rsidR="00F47663">
          <w:rPr>
            <w:webHidden/>
          </w:rPr>
          <w:t>50</w:t>
        </w:r>
        <w:r w:rsidR="00F47663">
          <w:rPr>
            <w:webHidden/>
          </w:rPr>
          <w:fldChar w:fldCharType="end"/>
        </w:r>
      </w:hyperlink>
    </w:p>
    <w:p w14:paraId="5DD5A897" w14:textId="3B441384" w:rsidR="00F47663" w:rsidRDefault="00B11637">
      <w:pPr>
        <w:pStyle w:val="TOC1"/>
        <w:rPr>
          <w:rFonts w:asciiTheme="minorHAnsi" w:eastAsiaTheme="minorEastAsia" w:hAnsiTheme="minorHAnsi" w:cstheme="minorBidi"/>
          <w:b w:val="0"/>
          <w:caps w:val="0"/>
          <w:noProof/>
          <w:color w:val="auto"/>
          <w:sz w:val="24"/>
          <w:szCs w:val="24"/>
          <w:lang w:val="en-IE" w:eastAsia="en-IE"/>
        </w:rPr>
      </w:pPr>
      <w:hyperlink w:anchor="_Toc231235452" w:history="1">
        <w:r w:rsidR="00F47663" w:rsidRPr="00AB1E94">
          <w:rPr>
            <w:rStyle w:val="Hyperlink"/>
            <w:noProof/>
          </w:rPr>
          <w:t>Part 2 Follow-up engagements</w:t>
        </w:r>
        <w:r w:rsidR="00F47663">
          <w:rPr>
            <w:noProof/>
            <w:webHidden/>
          </w:rPr>
          <w:tab/>
        </w:r>
        <w:r w:rsidR="00F47663">
          <w:rPr>
            <w:noProof/>
            <w:webHidden/>
          </w:rPr>
          <w:fldChar w:fldCharType="begin"/>
        </w:r>
        <w:r w:rsidR="00F47663">
          <w:rPr>
            <w:noProof/>
            <w:webHidden/>
          </w:rPr>
          <w:instrText xml:space="preserve"> PAGEREF _Toc231235452 \h </w:instrText>
        </w:r>
        <w:r w:rsidR="00F47663">
          <w:rPr>
            <w:noProof/>
            <w:webHidden/>
          </w:rPr>
        </w:r>
        <w:r w:rsidR="00F47663">
          <w:rPr>
            <w:noProof/>
            <w:webHidden/>
          </w:rPr>
          <w:fldChar w:fldCharType="separate"/>
        </w:r>
        <w:r w:rsidR="00F47663">
          <w:rPr>
            <w:noProof/>
            <w:webHidden/>
          </w:rPr>
          <w:t>52</w:t>
        </w:r>
        <w:r w:rsidR="00F47663">
          <w:rPr>
            <w:noProof/>
            <w:webHidden/>
          </w:rPr>
          <w:fldChar w:fldCharType="end"/>
        </w:r>
      </w:hyperlink>
    </w:p>
    <w:p w14:paraId="68B19ABF" w14:textId="450C94E4" w:rsidR="00F47663" w:rsidRDefault="00B11637">
      <w:pPr>
        <w:pStyle w:val="TOC2"/>
        <w:rPr>
          <w:rFonts w:asciiTheme="minorHAnsi" w:eastAsiaTheme="minorEastAsia" w:hAnsiTheme="minorHAnsi" w:cstheme="minorBidi"/>
          <w:b w:val="0"/>
          <w:noProof/>
          <w:color w:val="auto"/>
          <w:sz w:val="24"/>
          <w:szCs w:val="24"/>
          <w:lang w:val="en-IE" w:eastAsia="en-IE"/>
        </w:rPr>
      </w:pPr>
      <w:hyperlink w:anchor="_Toc231235453" w:history="1">
        <w:r w:rsidR="00F47663" w:rsidRPr="00AB1E94">
          <w:rPr>
            <w:rStyle w:val="Hyperlink"/>
            <w:noProof/>
          </w:rPr>
          <w:t>Audits for which some recommendations remain open after IAS follow-up in 2025 ()</w:t>
        </w:r>
        <w:r w:rsidR="00F47663">
          <w:rPr>
            <w:noProof/>
            <w:webHidden/>
          </w:rPr>
          <w:tab/>
        </w:r>
        <w:r w:rsidR="00F47663">
          <w:rPr>
            <w:noProof/>
            <w:webHidden/>
          </w:rPr>
          <w:fldChar w:fldCharType="begin"/>
        </w:r>
        <w:r w:rsidR="00F47663">
          <w:rPr>
            <w:noProof/>
            <w:webHidden/>
          </w:rPr>
          <w:instrText xml:space="preserve"> PAGEREF _Toc231235453 \h </w:instrText>
        </w:r>
        <w:r w:rsidR="00F47663">
          <w:rPr>
            <w:noProof/>
            <w:webHidden/>
          </w:rPr>
        </w:r>
        <w:r w:rsidR="00F47663">
          <w:rPr>
            <w:noProof/>
            <w:webHidden/>
          </w:rPr>
          <w:fldChar w:fldCharType="separate"/>
        </w:r>
        <w:r w:rsidR="00F47663">
          <w:rPr>
            <w:noProof/>
            <w:webHidden/>
          </w:rPr>
          <w:t>53</w:t>
        </w:r>
        <w:r w:rsidR="00F47663">
          <w:rPr>
            <w:noProof/>
            <w:webHidden/>
          </w:rPr>
          <w:fldChar w:fldCharType="end"/>
        </w:r>
      </w:hyperlink>
    </w:p>
    <w:p w14:paraId="008A6ED4" w14:textId="6298128D"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54" w:history="1">
        <w:r w:rsidR="00F47663" w:rsidRPr="00AB1E94">
          <w:rPr>
            <w:rStyle w:val="Hyperlink"/>
          </w:rPr>
          <w:t>2.1.</w:t>
        </w:r>
        <w:r w:rsidR="00F47663">
          <w:rPr>
            <w:rFonts w:asciiTheme="minorHAnsi" w:eastAsiaTheme="minorEastAsia" w:hAnsiTheme="minorHAnsi" w:cstheme="minorBidi"/>
            <w:sz w:val="24"/>
            <w:szCs w:val="24"/>
            <w:lang w:val="en-IE" w:eastAsia="en-IE"/>
          </w:rPr>
          <w:tab/>
        </w:r>
        <w:r w:rsidR="00F47663" w:rsidRPr="00AB1E94">
          <w:rPr>
            <w:rStyle w:val="Hyperlink"/>
          </w:rPr>
          <w:t>Audit on the preparedness of DG AGRI in designing the assurance building model under the new Common Agricultural Policy Strategic Plans</w:t>
        </w:r>
        <w:r w:rsidR="00F47663">
          <w:rPr>
            <w:webHidden/>
          </w:rPr>
          <w:tab/>
        </w:r>
        <w:r w:rsidR="00F47663">
          <w:rPr>
            <w:webHidden/>
          </w:rPr>
          <w:fldChar w:fldCharType="begin"/>
        </w:r>
        <w:r w:rsidR="00F47663">
          <w:rPr>
            <w:webHidden/>
          </w:rPr>
          <w:instrText xml:space="preserve"> PAGEREF _Toc231235454 \h </w:instrText>
        </w:r>
        <w:r w:rsidR="00F47663">
          <w:rPr>
            <w:webHidden/>
          </w:rPr>
        </w:r>
        <w:r w:rsidR="00F47663">
          <w:rPr>
            <w:webHidden/>
          </w:rPr>
          <w:fldChar w:fldCharType="separate"/>
        </w:r>
        <w:r w:rsidR="00F47663">
          <w:rPr>
            <w:webHidden/>
          </w:rPr>
          <w:t>53</w:t>
        </w:r>
        <w:r w:rsidR="00F47663">
          <w:rPr>
            <w:webHidden/>
          </w:rPr>
          <w:fldChar w:fldCharType="end"/>
        </w:r>
      </w:hyperlink>
    </w:p>
    <w:p w14:paraId="59CA5B89" w14:textId="1E314A4C"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55" w:history="1">
        <w:r w:rsidR="00F47663" w:rsidRPr="00AB1E94">
          <w:rPr>
            <w:rStyle w:val="Hyperlink"/>
          </w:rPr>
          <w:t>2.2.</w:t>
        </w:r>
        <w:r w:rsidR="00F47663">
          <w:rPr>
            <w:rFonts w:asciiTheme="minorHAnsi" w:eastAsiaTheme="minorEastAsia" w:hAnsiTheme="minorHAnsi" w:cstheme="minorBidi"/>
            <w:sz w:val="24"/>
            <w:szCs w:val="24"/>
            <w:lang w:val="en-IE" w:eastAsia="en-IE"/>
          </w:rPr>
          <w:tab/>
        </w:r>
        <w:r w:rsidR="00F47663" w:rsidRPr="00AB1E94">
          <w:rPr>
            <w:rStyle w:val="Hyperlink"/>
          </w:rPr>
          <w:t>Audit on CASE@EC project in DG COMP</w:t>
        </w:r>
        <w:r w:rsidR="00F47663">
          <w:rPr>
            <w:webHidden/>
          </w:rPr>
          <w:tab/>
        </w:r>
        <w:r w:rsidR="00F47663">
          <w:rPr>
            <w:webHidden/>
          </w:rPr>
          <w:fldChar w:fldCharType="begin"/>
        </w:r>
        <w:r w:rsidR="00F47663">
          <w:rPr>
            <w:webHidden/>
          </w:rPr>
          <w:instrText xml:space="preserve"> PAGEREF _Toc231235455 \h </w:instrText>
        </w:r>
        <w:r w:rsidR="00F47663">
          <w:rPr>
            <w:webHidden/>
          </w:rPr>
        </w:r>
        <w:r w:rsidR="00F47663">
          <w:rPr>
            <w:webHidden/>
          </w:rPr>
          <w:fldChar w:fldCharType="separate"/>
        </w:r>
        <w:r w:rsidR="00F47663">
          <w:rPr>
            <w:webHidden/>
          </w:rPr>
          <w:t>53</w:t>
        </w:r>
        <w:r w:rsidR="00F47663">
          <w:rPr>
            <w:webHidden/>
          </w:rPr>
          <w:fldChar w:fldCharType="end"/>
        </w:r>
      </w:hyperlink>
    </w:p>
    <w:p w14:paraId="43266A2B" w14:textId="5763F213"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56" w:history="1">
        <w:r w:rsidR="00F47663" w:rsidRPr="00AB1E94">
          <w:rPr>
            <w:rStyle w:val="Hyperlink"/>
          </w:rPr>
          <w:t>2.3.</w:t>
        </w:r>
        <w:r w:rsidR="00F47663">
          <w:rPr>
            <w:rFonts w:asciiTheme="minorHAnsi" w:eastAsiaTheme="minorEastAsia" w:hAnsiTheme="minorHAnsi" w:cstheme="minorBidi"/>
            <w:sz w:val="24"/>
            <w:szCs w:val="24"/>
            <w:lang w:val="en-IE" w:eastAsia="en-IE"/>
          </w:rPr>
          <w:tab/>
        </w:r>
        <w:r w:rsidR="00F47663" w:rsidRPr="00AB1E94">
          <w:rPr>
            <w:rStyle w:val="Hyperlink"/>
          </w:rPr>
          <w:t>Audit on IT security management in DG EAC</w:t>
        </w:r>
        <w:r w:rsidR="00F47663">
          <w:rPr>
            <w:webHidden/>
          </w:rPr>
          <w:tab/>
        </w:r>
        <w:r w:rsidR="00F47663">
          <w:rPr>
            <w:webHidden/>
          </w:rPr>
          <w:fldChar w:fldCharType="begin"/>
        </w:r>
        <w:r w:rsidR="00F47663">
          <w:rPr>
            <w:webHidden/>
          </w:rPr>
          <w:instrText xml:space="preserve"> PAGEREF _Toc231235456 \h </w:instrText>
        </w:r>
        <w:r w:rsidR="00F47663">
          <w:rPr>
            <w:webHidden/>
          </w:rPr>
        </w:r>
        <w:r w:rsidR="00F47663">
          <w:rPr>
            <w:webHidden/>
          </w:rPr>
          <w:fldChar w:fldCharType="separate"/>
        </w:r>
        <w:r w:rsidR="00F47663">
          <w:rPr>
            <w:webHidden/>
          </w:rPr>
          <w:t>53</w:t>
        </w:r>
        <w:r w:rsidR="00F47663">
          <w:rPr>
            <w:webHidden/>
          </w:rPr>
          <w:fldChar w:fldCharType="end"/>
        </w:r>
      </w:hyperlink>
    </w:p>
    <w:p w14:paraId="33C3B8EE" w14:textId="38F33C21"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57" w:history="1">
        <w:r w:rsidR="00F47663" w:rsidRPr="00AB1E94">
          <w:rPr>
            <w:rStyle w:val="Hyperlink"/>
          </w:rPr>
          <w:t>2.4.</w:t>
        </w:r>
        <w:r w:rsidR="00F47663">
          <w:rPr>
            <w:rFonts w:asciiTheme="minorHAnsi" w:eastAsiaTheme="minorEastAsia" w:hAnsiTheme="minorHAnsi" w:cstheme="minorBidi"/>
            <w:sz w:val="24"/>
            <w:szCs w:val="24"/>
            <w:lang w:val="en-IE" w:eastAsia="en-IE"/>
          </w:rPr>
          <w:tab/>
        </w:r>
        <w:r w:rsidR="00F47663" w:rsidRPr="00AB1E94">
          <w:rPr>
            <w:rStyle w:val="Hyperlink"/>
          </w:rPr>
          <w:t>Audit on the New nuclear decommissioning and waste management programme (NDWMP) in JRC</w:t>
        </w:r>
        <w:r w:rsidR="00F47663">
          <w:rPr>
            <w:webHidden/>
          </w:rPr>
          <w:tab/>
        </w:r>
        <w:r w:rsidR="00F47663">
          <w:rPr>
            <w:webHidden/>
          </w:rPr>
          <w:fldChar w:fldCharType="begin"/>
        </w:r>
        <w:r w:rsidR="00F47663">
          <w:rPr>
            <w:webHidden/>
          </w:rPr>
          <w:instrText xml:space="preserve"> PAGEREF _Toc231235457 \h </w:instrText>
        </w:r>
        <w:r w:rsidR="00F47663">
          <w:rPr>
            <w:webHidden/>
          </w:rPr>
        </w:r>
        <w:r w:rsidR="00F47663">
          <w:rPr>
            <w:webHidden/>
          </w:rPr>
          <w:fldChar w:fldCharType="separate"/>
        </w:r>
        <w:r w:rsidR="00F47663">
          <w:rPr>
            <w:webHidden/>
          </w:rPr>
          <w:t>54</w:t>
        </w:r>
        <w:r w:rsidR="00F47663">
          <w:rPr>
            <w:webHidden/>
          </w:rPr>
          <w:fldChar w:fldCharType="end"/>
        </w:r>
      </w:hyperlink>
    </w:p>
    <w:p w14:paraId="769A5CF9" w14:textId="202B92CC"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58" w:history="1">
        <w:r w:rsidR="00F47663" w:rsidRPr="00AB1E94">
          <w:rPr>
            <w:rStyle w:val="Hyperlink"/>
          </w:rPr>
          <w:t>2.5.</w:t>
        </w:r>
        <w:r w:rsidR="00F47663">
          <w:rPr>
            <w:rFonts w:asciiTheme="minorHAnsi" w:eastAsiaTheme="minorEastAsia" w:hAnsiTheme="minorHAnsi" w:cstheme="minorBidi"/>
            <w:sz w:val="24"/>
            <w:szCs w:val="24"/>
            <w:lang w:val="en-IE" w:eastAsia="en-IE"/>
          </w:rPr>
          <w:tab/>
        </w:r>
        <w:r w:rsidR="00F47663" w:rsidRPr="00AB1E94">
          <w:rPr>
            <w:rStyle w:val="Hyperlink"/>
          </w:rPr>
          <w:t>Audit on the protection of personal data in the Office for Administration and Payment of Individual Entitlements in PMO</w:t>
        </w:r>
        <w:r w:rsidR="00F47663">
          <w:rPr>
            <w:webHidden/>
          </w:rPr>
          <w:tab/>
        </w:r>
        <w:r w:rsidR="00F47663">
          <w:rPr>
            <w:webHidden/>
          </w:rPr>
          <w:fldChar w:fldCharType="begin"/>
        </w:r>
        <w:r w:rsidR="00F47663">
          <w:rPr>
            <w:webHidden/>
          </w:rPr>
          <w:instrText xml:space="preserve"> PAGEREF _Toc231235458 \h </w:instrText>
        </w:r>
        <w:r w:rsidR="00F47663">
          <w:rPr>
            <w:webHidden/>
          </w:rPr>
        </w:r>
        <w:r w:rsidR="00F47663">
          <w:rPr>
            <w:webHidden/>
          </w:rPr>
          <w:fldChar w:fldCharType="separate"/>
        </w:r>
        <w:r w:rsidR="00F47663">
          <w:rPr>
            <w:webHidden/>
          </w:rPr>
          <w:t>54</w:t>
        </w:r>
        <w:r w:rsidR="00F47663">
          <w:rPr>
            <w:webHidden/>
          </w:rPr>
          <w:fldChar w:fldCharType="end"/>
        </w:r>
      </w:hyperlink>
    </w:p>
    <w:p w14:paraId="1AEDA67C" w14:textId="43E79ED5"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59" w:history="1">
        <w:r w:rsidR="00F47663" w:rsidRPr="00AB1E94">
          <w:rPr>
            <w:rStyle w:val="Hyperlink"/>
          </w:rPr>
          <w:t>2.6.</w:t>
        </w:r>
        <w:r w:rsidR="00F47663">
          <w:rPr>
            <w:rFonts w:asciiTheme="minorHAnsi" w:eastAsiaTheme="minorEastAsia" w:hAnsiTheme="minorHAnsi" w:cstheme="minorBidi"/>
            <w:sz w:val="24"/>
            <w:szCs w:val="24"/>
            <w:lang w:val="en-IE" w:eastAsia="en-IE"/>
          </w:rPr>
          <w:tab/>
        </w:r>
        <w:r w:rsidR="00F47663" w:rsidRPr="00AB1E94">
          <w:rPr>
            <w:rStyle w:val="Hyperlink"/>
          </w:rPr>
          <w:t>Audit on measuring and reporting on the performance of technical support projects in DG REFORM</w:t>
        </w:r>
        <w:r w:rsidR="00F47663">
          <w:rPr>
            <w:webHidden/>
          </w:rPr>
          <w:tab/>
        </w:r>
        <w:r w:rsidR="00F47663">
          <w:rPr>
            <w:webHidden/>
          </w:rPr>
          <w:fldChar w:fldCharType="begin"/>
        </w:r>
        <w:r w:rsidR="00F47663">
          <w:rPr>
            <w:webHidden/>
          </w:rPr>
          <w:instrText xml:space="preserve"> PAGEREF _Toc231235459 \h </w:instrText>
        </w:r>
        <w:r w:rsidR="00F47663">
          <w:rPr>
            <w:webHidden/>
          </w:rPr>
        </w:r>
        <w:r w:rsidR="00F47663">
          <w:rPr>
            <w:webHidden/>
          </w:rPr>
          <w:fldChar w:fldCharType="separate"/>
        </w:r>
        <w:r w:rsidR="00F47663">
          <w:rPr>
            <w:webHidden/>
          </w:rPr>
          <w:t>54</w:t>
        </w:r>
        <w:r w:rsidR="00F47663">
          <w:rPr>
            <w:webHidden/>
          </w:rPr>
          <w:fldChar w:fldCharType="end"/>
        </w:r>
      </w:hyperlink>
    </w:p>
    <w:p w14:paraId="2A18976C" w14:textId="52DB4C38"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60" w:history="1">
        <w:r w:rsidR="00F47663" w:rsidRPr="00AB1E94">
          <w:rPr>
            <w:rStyle w:val="Hyperlink"/>
          </w:rPr>
          <w:t>2.7.</w:t>
        </w:r>
        <w:r w:rsidR="00F47663">
          <w:rPr>
            <w:rFonts w:asciiTheme="minorHAnsi" w:eastAsiaTheme="minorEastAsia" w:hAnsiTheme="minorHAnsi" w:cstheme="minorBidi"/>
            <w:sz w:val="24"/>
            <w:szCs w:val="24"/>
            <w:lang w:val="en-IE" w:eastAsia="en-IE"/>
          </w:rPr>
          <w:tab/>
        </w:r>
        <w:r w:rsidR="00F47663" w:rsidRPr="00AB1E94">
          <w:rPr>
            <w:rStyle w:val="Hyperlink"/>
          </w:rPr>
          <w:t>Audit on protection of personal data under the responsibility of CINEA, EACEA, EISMEA, ERCEA, REA and the CIC</w:t>
        </w:r>
        <w:r w:rsidR="00F47663">
          <w:rPr>
            <w:webHidden/>
          </w:rPr>
          <w:tab/>
        </w:r>
        <w:r w:rsidR="00F47663">
          <w:rPr>
            <w:webHidden/>
          </w:rPr>
          <w:fldChar w:fldCharType="begin"/>
        </w:r>
        <w:r w:rsidR="00F47663">
          <w:rPr>
            <w:webHidden/>
          </w:rPr>
          <w:instrText xml:space="preserve"> PAGEREF _Toc231235460 \h </w:instrText>
        </w:r>
        <w:r w:rsidR="00F47663">
          <w:rPr>
            <w:webHidden/>
          </w:rPr>
        </w:r>
        <w:r w:rsidR="00F47663">
          <w:rPr>
            <w:webHidden/>
          </w:rPr>
          <w:fldChar w:fldCharType="separate"/>
        </w:r>
        <w:r w:rsidR="00F47663">
          <w:rPr>
            <w:webHidden/>
          </w:rPr>
          <w:t>54</w:t>
        </w:r>
        <w:r w:rsidR="00F47663">
          <w:rPr>
            <w:webHidden/>
          </w:rPr>
          <w:fldChar w:fldCharType="end"/>
        </w:r>
      </w:hyperlink>
    </w:p>
    <w:p w14:paraId="0C75E2CE" w14:textId="4638217B"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61" w:history="1">
        <w:r w:rsidR="00F47663" w:rsidRPr="00AB1E94">
          <w:rPr>
            <w:rStyle w:val="Hyperlink"/>
          </w:rPr>
          <w:t>2.8.</w:t>
        </w:r>
        <w:r w:rsidR="00F47663">
          <w:rPr>
            <w:rFonts w:asciiTheme="minorHAnsi" w:eastAsiaTheme="minorEastAsia" w:hAnsiTheme="minorHAnsi" w:cstheme="minorBidi"/>
            <w:sz w:val="24"/>
            <w:szCs w:val="24"/>
            <w:lang w:val="en-IE" w:eastAsia="en-IE"/>
          </w:rPr>
          <w:tab/>
        </w:r>
        <w:r w:rsidR="00F47663" w:rsidRPr="00AB1E94">
          <w:rPr>
            <w:rStyle w:val="Hyperlink"/>
          </w:rPr>
          <w:t>Audit on the preparedness for closing the 2014-2020 programming period of the European Structural and Investment Funds by DG EMPL and DG MARE and DG REGIO</w:t>
        </w:r>
        <w:r w:rsidR="00F47663">
          <w:rPr>
            <w:webHidden/>
          </w:rPr>
          <w:tab/>
        </w:r>
        <w:r w:rsidR="00F47663">
          <w:rPr>
            <w:webHidden/>
          </w:rPr>
          <w:fldChar w:fldCharType="begin"/>
        </w:r>
        <w:r w:rsidR="00F47663">
          <w:rPr>
            <w:webHidden/>
          </w:rPr>
          <w:instrText xml:space="preserve"> PAGEREF _Toc231235461 \h </w:instrText>
        </w:r>
        <w:r w:rsidR="00F47663">
          <w:rPr>
            <w:webHidden/>
          </w:rPr>
        </w:r>
        <w:r w:rsidR="00F47663">
          <w:rPr>
            <w:webHidden/>
          </w:rPr>
          <w:fldChar w:fldCharType="separate"/>
        </w:r>
        <w:r w:rsidR="00F47663">
          <w:rPr>
            <w:webHidden/>
          </w:rPr>
          <w:t>55</w:t>
        </w:r>
        <w:r w:rsidR="00F47663">
          <w:rPr>
            <w:webHidden/>
          </w:rPr>
          <w:fldChar w:fldCharType="end"/>
        </w:r>
      </w:hyperlink>
    </w:p>
    <w:p w14:paraId="218AA0C6" w14:textId="4DDBDD7C" w:rsidR="00F47663" w:rsidRDefault="00B11637">
      <w:pPr>
        <w:pStyle w:val="TOC3"/>
        <w:tabs>
          <w:tab w:val="left" w:pos="964"/>
        </w:tabs>
        <w:rPr>
          <w:rFonts w:asciiTheme="minorHAnsi" w:eastAsiaTheme="minorEastAsia" w:hAnsiTheme="minorHAnsi" w:cstheme="minorBidi"/>
          <w:sz w:val="24"/>
          <w:szCs w:val="24"/>
          <w:lang w:val="en-IE" w:eastAsia="en-IE"/>
        </w:rPr>
      </w:pPr>
      <w:hyperlink w:anchor="_Toc231235462" w:history="1">
        <w:r w:rsidR="00F47663" w:rsidRPr="00AB1E94">
          <w:rPr>
            <w:rStyle w:val="Hyperlink"/>
          </w:rPr>
          <w:t>2.9.</w:t>
        </w:r>
        <w:r w:rsidR="00F47663">
          <w:rPr>
            <w:rFonts w:asciiTheme="minorHAnsi" w:eastAsiaTheme="minorEastAsia" w:hAnsiTheme="minorHAnsi" w:cstheme="minorBidi"/>
            <w:sz w:val="24"/>
            <w:szCs w:val="24"/>
            <w:lang w:val="en-IE" w:eastAsia="en-IE"/>
          </w:rPr>
          <w:tab/>
        </w:r>
        <w:r w:rsidR="00F47663" w:rsidRPr="00AB1E94">
          <w:rPr>
            <w:rStyle w:val="Hyperlink"/>
          </w:rPr>
          <w:t>Audit on the Joint Audit Directorate for Cohesion (DAC) in DG EMPL and DG REGIO</w:t>
        </w:r>
        <w:r w:rsidR="00F47663">
          <w:rPr>
            <w:webHidden/>
          </w:rPr>
          <w:tab/>
        </w:r>
        <w:r w:rsidR="00F47663">
          <w:rPr>
            <w:webHidden/>
          </w:rPr>
          <w:fldChar w:fldCharType="begin"/>
        </w:r>
        <w:r w:rsidR="00F47663">
          <w:rPr>
            <w:webHidden/>
          </w:rPr>
          <w:instrText xml:space="preserve"> PAGEREF _Toc231235462 \h </w:instrText>
        </w:r>
        <w:r w:rsidR="00F47663">
          <w:rPr>
            <w:webHidden/>
          </w:rPr>
        </w:r>
        <w:r w:rsidR="00F47663">
          <w:rPr>
            <w:webHidden/>
          </w:rPr>
          <w:fldChar w:fldCharType="separate"/>
        </w:r>
        <w:r w:rsidR="00F47663">
          <w:rPr>
            <w:webHidden/>
          </w:rPr>
          <w:t>55</w:t>
        </w:r>
        <w:r w:rsidR="00F47663">
          <w:rPr>
            <w:webHidden/>
          </w:rPr>
          <w:fldChar w:fldCharType="end"/>
        </w:r>
      </w:hyperlink>
    </w:p>
    <w:p w14:paraId="5E469EA6" w14:textId="79A2AF82"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63" w:history="1">
        <w:r w:rsidR="00F47663" w:rsidRPr="00AB1E94">
          <w:rPr>
            <w:rStyle w:val="Hyperlink"/>
          </w:rPr>
          <w:t>2.10.</w:t>
        </w:r>
        <w:r w:rsidR="00F47663">
          <w:rPr>
            <w:rFonts w:asciiTheme="minorHAnsi" w:eastAsiaTheme="minorEastAsia" w:hAnsiTheme="minorHAnsi" w:cstheme="minorBidi"/>
            <w:sz w:val="24"/>
            <w:szCs w:val="24"/>
            <w:lang w:val="en-IE" w:eastAsia="en-IE"/>
          </w:rPr>
          <w:tab/>
        </w:r>
        <w:r w:rsidR="00F47663" w:rsidRPr="00AB1E94">
          <w:rPr>
            <w:rStyle w:val="Hyperlink"/>
          </w:rPr>
          <w:t>Audit on Physical security of persons and assets in the Commission, HR / DIGIT / COMM / OIB / OIL</w:t>
        </w:r>
        <w:r w:rsidR="00F47663">
          <w:rPr>
            <w:webHidden/>
          </w:rPr>
          <w:tab/>
        </w:r>
        <w:r w:rsidR="00F47663">
          <w:rPr>
            <w:webHidden/>
          </w:rPr>
          <w:fldChar w:fldCharType="begin"/>
        </w:r>
        <w:r w:rsidR="00F47663">
          <w:rPr>
            <w:webHidden/>
          </w:rPr>
          <w:instrText xml:space="preserve"> PAGEREF _Toc231235463 \h </w:instrText>
        </w:r>
        <w:r w:rsidR="00F47663">
          <w:rPr>
            <w:webHidden/>
          </w:rPr>
        </w:r>
        <w:r w:rsidR="00F47663">
          <w:rPr>
            <w:webHidden/>
          </w:rPr>
          <w:fldChar w:fldCharType="separate"/>
        </w:r>
        <w:r w:rsidR="00F47663">
          <w:rPr>
            <w:webHidden/>
          </w:rPr>
          <w:t>56</w:t>
        </w:r>
        <w:r w:rsidR="00F47663">
          <w:rPr>
            <w:webHidden/>
          </w:rPr>
          <w:fldChar w:fldCharType="end"/>
        </w:r>
      </w:hyperlink>
    </w:p>
    <w:p w14:paraId="56413486" w14:textId="75709FD3"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64" w:history="1">
        <w:r w:rsidR="00F47663" w:rsidRPr="00AB1E94">
          <w:rPr>
            <w:rStyle w:val="Hyperlink"/>
          </w:rPr>
          <w:t>2.11.</w:t>
        </w:r>
        <w:r w:rsidR="00F47663">
          <w:rPr>
            <w:rFonts w:asciiTheme="minorHAnsi" w:eastAsiaTheme="minorEastAsia" w:hAnsiTheme="minorHAnsi" w:cstheme="minorBidi"/>
            <w:sz w:val="24"/>
            <w:szCs w:val="24"/>
            <w:lang w:val="en-IE" w:eastAsia="en-IE"/>
          </w:rPr>
          <w:tab/>
        </w:r>
        <w:r w:rsidR="00F47663" w:rsidRPr="00AB1E94">
          <w:rPr>
            <w:rStyle w:val="Hyperlink"/>
          </w:rPr>
          <w:t>Audit on the assessment of HR needs in the Commission at corporate level in DG BUDG, DG HR and SG</w:t>
        </w:r>
        <w:r w:rsidR="00F47663">
          <w:rPr>
            <w:webHidden/>
          </w:rPr>
          <w:tab/>
        </w:r>
        <w:r w:rsidR="00F47663">
          <w:rPr>
            <w:webHidden/>
          </w:rPr>
          <w:fldChar w:fldCharType="begin"/>
        </w:r>
        <w:r w:rsidR="00F47663">
          <w:rPr>
            <w:webHidden/>
          </w:rPr>
          <w:instrText xml:space="preserve"> PAGEREF _Toc231235464 \h </w:instrText>
        </w:r>
        <w:r w:rsidR="00F47663">
          <w:rPr>
            <w:webHidden/>
          </w:rPr>
        </w:r>
        <w:r w:rsidR="00F47663">
          <w:rPr>
            <w:webHidden/>
          </w:rPr>
          <w:fldChar w:fldCharType="separate"/>
        </w:r>
        <w:r w:rsidR="00F47663">
          <w:rPr>
            <w:webHidden/>
          </w:rPr>
          <w:t>56</w:t>
        </w:r>
        <w:r w:rsidR="00F47663">
          <w:rPr>
            <w:webHidden/>
          </w:rPr>
          <w:fldChar w:fldCharType="end"/>
        </w:r>
      </w:hyperlink>
    </w:p>
    <w:p w14:paraId="1E88D9F0" w14:textId="155C23AC"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65" w:history="1">
        <w:r w:rsidR="00F47663" w:rsidRPr="00AB1E94">
          <w:rPr>
            <w:rStyle w:val="Hyperlink"/>
          </w:rPr>
          <w:t>2.12.</w:t>
        </w:r>
        <w:r w:rsidR="00F47663">
          <w:rPr>
            <w:rFonts w:asciiTheme="minorHAnsi" w:eastAsiaTheme="minorEastAsia" w:hAnsiTheme="minorHAnsi" w:cstheme="minorBidi"/>
            <w:sz w:val="24"/>
            <w:szCs w:val="24"/>
            <w:lang w:val="en-IE" w:eastAsia="en-IE"/>
          </w:rPr>
          <w:tab/>
        </w:r>
        <w:r w:rsidR="00F47663" w:rsidRPr="00AB1E94">
          <w:rPr>
            <w:rStyle w:val="Hyperlink"/>
          </w:rPr>
          <w:t>Audit on protection of confidentiality of information at corporate level in DG HR, DG DIGIT and SG</w:t>
        </w:r>
        <w:r w:rsidR="00F47663">
          <w:rPr>
            <w:webHidden/>
          </w:rPr>
          <w:tab/>
        </w:r>
        <w:r w:rsidR="00F47663">
          <w:rPr>
            <w:webHidden/>
          </w:rPr>
          <w:fldChar w:fldCharType="begin"/>
        </w:r>
        <w:r w:rsidR="00F47663">
          <w:rPr>
            <w:webHidden/>
          </w:rPr>
          <w:instrText xml:space="preserve"> PAGEREF _Toc231235465 \h </w:instrText>
        </w:r>
        <w:r w:rsidR="00F47663">
          <w:rPr>
            <w:webHidden/>
          </w:rPr>
        </w:r>
        <w:r w:rsidR="00F47663">
          <w:rPr>
            <w:webHidden/>
          </w:rPr>
          <w:fldChar w:fldCharType="separate"/>
        </w:r>
        <w:r w:rsidR="00F47663">
          <w:rPr>
            <w:webHidden/>
          </w:rPr>
          <w:t>56</w:t>
        </w:r>
        <w:r w:rsidR="00F47663">
          <w:rPr>
            <w:webHidden/>
          </w:rPr>
          <w:fldChar w:fldCharType="end"/>
        </w:r>
      </w:hyperlink>
    </w:p>
    <w:p w14:paraId="031D9D30" w14:textId="161C615F"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66" w:history="1">
        <w:r w:rsidR="00F47663" w:rsidRPr="00AB1E94">
          <w:rPr>
            <w:rStyle w:val="Hyperlink"/>
          </w:rPr>
          <w:t>2.13.</w:t>
        </w:r>
        <w:r w:rsidR="00F47663">
          <w:rPr>
            <w:rFonts w:asciiTheme="minorHAnsi" w:eastAsiaTheme="minorEastAsia" w:hAnsiTheme="minorHAnsi" w:cstheme="minorBidi"/>
            <w:sz w:val="24"/>
            <w:szCs w:val="24"/>
            <w:lang w:val="en-IE" w:eastAsia="en-IE"/>
          </w:rPr>
          <w:tab/>
        </w:r>
        <w:r w:rsidR="00F47663" w:rsidRPr="00AB1E94">
          <w:rPr>
            <w:rStyle w:val="Hyperlink"/>
          </w:rPr>
          <w:t>Audit on the management of large-scale building projects involving works in OIB and OIL</w:t>
        </w:r>
        <w:r w:rsidR="00F47663">
          <w:rPr>
            <w:webHidden/>
          </w:rPr>
          <w:tab/>
        </w:r>
        <w:r w:rsidR="00F47663">
          <w:rPr>
            <w:webHidden/>
          </w:rPr>
          <w:fldChar w:fldCharType="begin"/>
        </w:r>
        <w:r w:rsidR="00F47663">
          <w:rPr>
            <w:webHidden/>
          </w:rPr>
          <w:instrText xml:space="preserve"> PAGEREF _Toc231235466 \h </w:instrText>
        </w:r>
        <w:r w:rsidR="00F47663">
          <w:rPr>
            <w:webHidden/>
          </w:rPr>
        </w:r>
        <w:r w:rsidR="00F47663">
          <w:rPr>
            <w:webHidden/>
          </w:rPr>
          <w:fldChar w:fldCharType="separate"/>
        </w:r>
        <w:r w:rsidR="00F47663">
          <w:rPr>
            <w:webHidden/>
          </w:rPr>
          <w:t>57</w:t>
        </w:r>
        <w:r w:rsidR="00F47663">
          <w:rPr>
            <w:webHidden/>
          </w:rPr>
          <w:fldChar w:fldCharType="end"/>
        </w:r>
      </w:hyperlink>
    </w:p>
    <w:p w14:paraId="2223FB7A" w14:textId="21E7BCC2"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67" w:history="1">
        <w:r w:rsidR="00F47663" w:rsidRPr="00AB1E94">
          <w:rPr>
            <w:rStyle w:val="Hyperlink"/>
          </w:rPr>
          <w:t>2.14.</w:t>
        </w:r>
        <w:r w:rsidR="00F47663">
          <w:rPr>
            <w:rFonts w:asciiTheme="minorHAnsi" w:eastAsiaTheme="minorEastAsia" w:hAnsiTheme="minorHAnsi" w:cstheme="minorBidi"/>
            <w:sz w:val="24"/>
            <w:szCs w:val="24"/>
            <w:lang w:val="en-IE" w:eastAsia="en-IE"/>
          </w:rPr>
          <w:tab/>
        </w:r>
        <w:r w:rsidR="00F47663" w:rsidRPr="00AB1E94">
          <w:rPr>
            <w:rStyle w:val="Hyperlink"/>
          </w:rPr>
          <w:t>Review of the Commission’s risk at payment in DG BUDG, DG EMPL, DG INTPA, DG NEAR, DG REGIO, DG RTD, EISMEA, ERCEA and REA</w:t>
        </w:r>
        <w:r w:rsidR="00F47663">
          <w:rPr>
            <w:webHidden/>
          </w:rPr>
          <w:tab/>
        </w:r>
        <w:r w:rsidR="00F47663">
          <w:rPr>
            <w:webHidden/>
          </w:rPr>
          <w:fldChar w:fldCharType="begin"/>
        </w:r>
        <w:r w:rsidR="00F47663">
          <w:rPr>
            <w:webHidden/>
          </w:rPr>
          <w:instrText xml:space="preserve"> PAGEREF _Toc231235467 \h </w:instrText>
        </w:r>
        <w:r w:rsidR="00F47663">
          <w:rPr>
            <w:webHidden/>
          </w:rPr>
        </w:r>
        <w:r w:rsidR="00F47663">
          <w:rPr>
            <w:webHidden/>
          </w:rPr>
          <w:fldChar w:fldCharType="separate"/>
        </w:r>
        <w:r w:rsidR="00F47663">
          <w:rPr>
            <w:webHidden/>
          </w:rPr>
          <w:t>57</w:t>
        </w:r>
        <w:r w:rsidR="00F47663">
          <w:rPr>
            <w:webHidden/>
          </w:rPr>
          <w:fldChar w:fldCharType="end"/>
        </w:r>
      </w:hyperlink>
    </w:p>
    <w:p w14:paraId="59734446" w14:textId="26FE3C6F"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68" w:history="1">
        <w:r w:rsidR="00F47663" w:rsidRPr="00AB1E94">
          <w:rPr>
            <w:rStyle w:val="Hyperlink"/>
          </w:rPr>
          <w:t>2.15.</w:t>
        </w:r>
        <w:r w:rsidR="00F47663">
          <w:rPr>
            <w:rFonts w:asciiTheme="minorHAnsi" w:eastAsiaTheme="minorEastAsia" w:hAnsiTheme="minorHAnsi" w:cstheme="minorBidi"/>
            <w:sz w:val="24"/>
            <w:szCs w:val="24"/>
            <w:lang w:val="en-IE" w:eastAsia="en-IE"/>
          </w:rPr>
          <w:tab/>
        </w:r>
        <w:r w:rsidR="00F47663" w:rsidRPr="00AB1E94">
          <w:rPr>
            <w:rStyle w:val="Hyperlink"/>
          </w:rPr>
          <w:t>Audit on the External Investment Plan – European Fund for Sustainable Development (EFSD) Guarantee in DG INTPA and DG NEAR</w:t>
        </w:r>
        <w:r w:rsidR="00F47663">
          <w:rPr>
            <w:webHidden/>
          </w:rPr>
          <w:tab/>
        </w:r>
        <w:r w:rsidR="00F47663">
          <w:rPr>
            <w:webHidden/>
          </w:rPr>
          <w:fldChar w:fldCharType="begin"/>
        </w:r>
        <w:r w:rsidR="00F47663">
          <w:rPr>
            <w:webHidden/>
          </w:rPr>
          <w:instrText xml:space="preserve"> PAGEREF _Toc231235468 \h </w:instrText>
        </w:r>
        <w:r w:rsidR="00F47663">
          <w:rPr>
            <w:webHidden/>
          </w:rPr>
        </w:r>
        <w:r w:rsidR="00F47663">
          <w:rPr>
            <w:webHidden/>
          </w:rPr>
          <w:fldChar w:fldCharType="separate"/>
        </w:r>
        <w:r w:rsidR="00F47663">
          <w:rPr>
            <w:webHidden/>
          </w:rPr>
          <w:t>58</w:t>
        </w:r>
        <w:r w:rsidR="00F47663">
          <w:rPr>
            <w:webHidden/>
          </w:rPr>
          <w:fldChar w:fldCharType="end"/>
        </w:r>
      </w:hyperlink>
    </w:p>
    <w:p w14:paraId="360F10D0" w14:textId="651AF2F8" w:rsidR="00F47663" w:rsidRDefault="00B11637">
      <w:pPr>
        <w:pStyle w:val="TOC3"/>
        <w:tabs>
          <w:tab w:val="left" w:pos="988"/>
        </w:tabs>
        <w:rPr>
          <w:rFonts w:asciiTheme="minorHAnsi" w:eastAsiaTheme="minorEastAsia" w:hAnsiTheme="minorHAnsi" w:cstheme="minorBidi"/>
          <w:sz w:val="24"/>
          <w:szCs w:val="24"/>
          <w:lang w:val="en-IE" w:eastAsia="en-IE"/>
        </w:rPr>
      </w:pPr>
      <w:hyperlink w:anchor="_Toc231235469" w:history="1">
        <w:r w:rsidR="00F47663" w:rsidRPr="00AB1E94">
          <w:rPr>
            <w:rStyle w:val="Hyperlink"/>
            <w:rFonts w:eastAsia="Calibri"/>
            <w:bCs/>
          </w:rPr>
          <w:t>2.16.</w:t>
        </w:r>
        <w:r w:rsidR="00F47663">
          <w:rPr>
            <w:rFonts w:asciiTheme="minorHAnsi" w:eastAsiaTheme="minorEastAsia" w:hAnsiTheme="minorHAnsi" w:cstheme="minorBidi"/>
            <w:sz w:val="24"/>
            <w:szCs w:val="24"/>
            <w:lang w:val="en-IE" w:eastAsia="en-IE"/>
          </w:rPr>
          <w:tab/>
        </w:r>
        <w:r w:rsidR="00F47663" w:rsidRPr="00AB1E94">
          <w:rPr>
            <w:rStyle w:val="Hyperlink"/>
          </w:rPr>
          <w:t>Audit on Intervention-level evaluations in FPI, former DG NEAR and DG INTPA</w:t>
        </w:r>
        <w:r w:rsidR="00F47663">
          <w:rPr>
            <w:webHidden/>
          </w:rPr>
          <w:tab/>
        </w:r>
        <w:r w:rsidR="00F47663">
          <w:rPr>
            <w:webHidden/>
          </w:rPr>
          <w:fldChar w:fldCharType="begin"/>
        </w:r>
        <w:r w:rsidR="00F47663">
          <w:rPr>
            <w:webHidden/>
          </w:rPr>
          <w:instrText xml:space="preserve"> PAGEREF _Toc231235469 \h </w:instrText>
        </w:r>
        <w:r w:rsidR="00F47663">
          <w:rPr>
            <w:webHidden/>
          </w:rPr>
        </w:r>
        <w:r w:rsidR="00F47663">
          <w:rPr>
            <w:webHidden/>
          </w:rPr>
          <w:fldChar w:fldCharType="separate"/>
        </w:r>
        <w:r w:rsidR="00F47663">
          <w:rPr>
            <w:webHidden/>
          </w:rPr>
          <w:t>59</w:t>
        </w:r>
        <w:r w:rsidR="00F47663">
          <w:rPr>
            <w:webHidden/>
          </w:rPr>
          <w:fldChar w:fldCharType="end"/>
        </w:r>
      </w:hyperlink>
    </w:p>
    <w:p w14:paraId="7B04DE2A" w14:textId="3EF3033D" w:rsidR="00F47663" w:rsidRDefault="00B11637">
      <w:pPr>
        <w:pStyle w:val="TOC2"/>
        <w:rPr>
          <w:rFonts w:asciiTheme="minorHAnsi" w:eastAsiaTheme="minorEastAsia" w:hAnsiTheme="minorHAnsi" w:cstheme="minorBidi"/>
          <w:b w:val="0"/>
          <w:noProof/>
          <w:color w:val="auto"/>
          <w:sz w:val="24"/>
          <w:szCs w:val="24"/>
          <w:lang w:val="en-IE" w:eastAsia="en-IE"/>
        </w:rPr>
      </w:pPr>
      <w:hyperlink w:anchor="_Toc231235470" w:history="1">
        <w:r w:rsidR="00F47663" w:rsidRPr="00AB1E94">
          <w:rPr>
            <w:rStyle w:val="Hyperlink"/>
            <w:noProof/>
          </w:rPr>
          <w:t>List of audits for which all recommendations were closed in 2025</w:t>
        </w:r>
        <w:r w:rsidR="00F47663">
          <w:rPr>
            <w:noProof/>
            <w:webHidden/>
          </w:rPr>
          <w:tab/>
        </w:r>
        <w:r w:rsidR="00F47663">
          <w:rPr>
            <w:noProof/>
            <w:webHidden/>
          </w:rPr>
          <w:fldChar w:fldCharType="begin"/>
        </w:r>
        <w:r w:rsidR="00F47663">
          <w:rPr>
            <w:noProof/>
            <w:webHidden/>
          </w:rPr>
          <w:instrText xml:space="preserve"> PAGEREF _Toc231235470 \h </w:instrText>
        </w:r>
        <w:r w:rsidR="00F47663">
          <w:rPr>
            <w:noProof/>
            <w:webHidden/>
          </w:rPr>
        </w:r>
        <w:r w:rsidR="00F47663">
          <w:rPr>
            <w:noProof/>
            <w:webHidden/>
          </w:rPr>
          <w:fldChar w:fldCharType="separate"/>
        </w:r>
        <w:r w:rsidR="00F47663">
          <w:rPr>
            <w:noProof/>
            <w:webHidden/>
          </w:rPr>
          <w:t>59</w:t>
        </w:r>
        <w:r w:rsidR="00F47663">
          <w:rPr>
            <w:noProof/>
            <w:webHidden/>
          </w:rPr>
          <w:fldChar w:fldCharType="end"/>
        </w:r>
      </w:hyperlink>
    </w:p>
    <w:p w14:paraId="04CBF2F6" w14:textId="49328DA1" w:rsidR="00F47663" w:rsidRDefault="00B11637">
      <w:pPr>
        <w:pStyle w:val="TOC1"/>
        <w:rPr>
          <w:rFonts w:asciiTheme="minorHAnsi" w:eastAsiaTheme="minorEastAsia" w:hAnsiTheme="minorHAnsi" w:cstheme="minorBidi"/>
          <w:b w:val="0"/>
          <w:caps w:val="0"/>
          <w:noProof/>
          <w:color w:val="auto"/>
          <w:sz w:val="24"/>
          <w:szCs w:val="24"/>
          <w:lang w:val="en-IE" w:eastAsia="en-IE"/>
        </w:rPr>
      </w:pPr>
      <w:hyperlink w:anchor="_Toc231235471" w:history="1">
        <w:r w:rsidR="00F47663" w:rsidRPr="00AB1E94">
          <w:rPr>
            <w:rStyle w:val="Hyperlink"/>
            <w:noProof/>
          </w:rPr>
          <w:t>Part 3 Summary of long</w:t>
        </w:r>
        <w:r w:rsidR="00F47663" w:rsidRPr="00AB1E94">
          <w:rPr>
            <w:rStyle w:val="Hyperlink"/>
            <w:rFonts w:ascii="Calibri" w:hAnsi="Calibri" w:cs="Calibri"/>
            <w:noProof/>
          </w:rPr>
          <w:t> </w:t>
        </w:r>
        <w:r w:rsidR="00F47663" w:rsidRPr="00AB1E94">
          <w:rPr>
            <w:rStyle w:val="Hyperlink"/>
            <w:noProof/>
          </w:rPr>
          <w:t>overdue recommendations</w:t>
        </w:r>
        <w:r w:rsidR="00F47663">
          <w:rPr>
            <w:noProof/>
            <w:webHidden/>
          </w:rPr>
          <w:tab/>
        </w:r>
        <w:r w:rsidR="00F47663">
          <w:rPr>
            <w:noProof/>
            <w:webHidden/>
          </w:rPr>
          <w:fldChar w:fldCharType="begin"/>
        </w:r>
        <w:r w:rsidR="00F47663">
          <w:rPr>
            <w:noProof/>
            <w:webHidden/>
          </w:rPr>
          <w:instrText xml:space="preserve"> PAGEREF _Toc231235471 \h </w:instrText>
        </w:r>
        <w:r w:rsidR="00F47663">
          <w:rPr>
            <w:noProof/>
            <w:webHidden/>
          </w:rPr>
        </w:r>
        <w:r w:rsidR="00F47663">
          <w:rPr>
            <w:noProof/>
            <w:webHidden/>
          </w:rPr>
          <w:fldChar w:fldCharType="separate"/>
        </w:r>
        <w:r w:rsidR="00F47663">
          <w:rPr>
            <w:noProof/>
            <w:webHidden/>
          </w:rPr>
          <w:t>61</w:t>
        </w:r>
        <w:r w:rsidR="00F47663">
          <w:rPr>
            <w:noProof/>
            <w:webHidden/>
          </w:rPr>
          <w:fldChar w:fldCharType="end"/>
        </w:r>
      </w:hyperlink>
    </w:p>
    <w:p w14:paraId="363A9809" w14:textId="1F348B08" w:rsidR="0057062A" w:rsidRPr="004B6CD8" w:rsidRDefault="00C76AA9" w:rsidP="0057062A">
      <w:pPr>
        <w:spacing w:after="60"/>
        <w:rPr>
          <w:rFonts w:eastAsia="Calibri" w:cs="Times New Roman"/>
          <w:noProof/>
          <w:kern w:val="0"/>
          <w:lang w:val="en-GB"/>
          <w14:ligatures w14:val="none"/>
        </w:rPr>
      </w:pPr>
      <w:r>
        <w:rPr>
          <w:rFonts w:eastAsia="Calibri" w:cs="Times New Roman"/>
          <w:noProof/>
          <w:color w:val="003399" w:themeColor="text2"/>
          <w:kern w:val="0"/>
          <w:lang w:val="en-GB"/>
          <w14:ligatures w14:val="none"/>
        </w:rPr>
        <w:fldChar w:fldCharType="end"/>
      </w:r>
    </w:p>
    <w:p w14:paraId="00E76651" w14:textId="77777777" w:rsidR="0057062A" w:rsidRPr="004B6CD8" w:rsidRDefault="0057062A" w:rsidP="0057062A">
      <w:pPr>
        <w:rPr>
          <w:rFonts w:eastAsia="Calibri" w:cs="Times New Roman"/>
          <w:noProof/>
          <w:color w:val="215E94"/>
          <w:kern w:val="0"/>
          <w:lang w:val="en-GB"/>
          <w14:ligatures w14:val="none"/>
        </w:rPr>
      </w:pPr>
      <w:r w:rsidRPr="004B6CD8">
        <w:rPr>
          <w:rFonts w:eastAsia="Calibri" w:cs="Times New Roman"/>
          <w:b/>
          <w:noProof/>
          <w:color w:val="215E94"/>
          <w:kern w:val="0"/>
          <w:sz w:val="32"/>
          <w:szCs w:val="32"/>
          <w:lang w:val="en-GB"/>
          <w14:ligatures w14:val="none"/>
        </w:rPr>
        <w:br w:type="page"/>
      </w:r>
    </w:p>
    <w:p w14:paraId="484CEB1F" w14:textId="77777777" w:rsidR="0057062A" w:rsidRPr="004B6CD8" w:rsidRDefault="0057062A" w:rsidP="0057062A">
      <w:pPr>
        <w:spacing w:after="120"/>
        <w:jc w:val="center"/>
        <w:rPr>
          <w:rFonts w:eastAsia="Calibri" w:cs="Times New Roman"/>
          <w:b/>
          <w:noProof/>
          <w:color w:val="003399" w:themeColor="text2"/>
          <w:kern w:val="0"/>
          <w:sz w:val="32"/>
          <w:szCs w:val="32"/>
          <w:lang w:val="en-GB"/>
          <w14:ligatures w14:val="none"/>
        </w:rPr>
      </w:pPr>
      <w:r w:rsidRPr="004B6CD8">
        <w:rPr>
          <w:rFonts w:eastAsia="Calibri" w:cs="Times New Roman"/>
          <w:b/>
          <w:noProof/>
          <w:color w:val="003399" w:themeColor="text2"/>
          <w:kern w:val="0"/>
          <w:sz w:val="32"/>
          <w:szCs w:val="32"/>
          <w:lang w:val="en-GB"/>
          <w14:ligatures w14:val="none"/>
        </w:rPr>
        <w:t>List of abbreviations</w:t>
      </w:r>
    </w:p>
    <w:p w14:paraId="49E4D8DB" w14:textId="77777777" w:rsidR="0057062A" w:rsidRPr="004B6CD8" w:rsidRDefault="0057062A" w:rsidP="0057062A">
      <w:pPr>
        <w:spacing w:after="0"/>
        <w:rPr>
          <w:rFonts w:eastAsia="Calibri" w:cs="Times New Roman"/>
          <w:noProof/>
          <w:color w:val="003399" w:themeColor="text2"/>
          <w:kern w:val="0"/>
          <w:szCs w:val="24"/>
          <w:lang w:val="en-GB"/>
          <w14:ligatures w14:val="none"/>
        </w:rPr>
      </w:pPr>
      <w:bookmarkStart w:id="2" w:name="_Hlk129252009"/>
      <w:r w:rsidRPr="004B6CD8">
        <w:rPr>
          <w:rFonts w:eastAsia="Calibri" w:cs="Times New Roman"/>
          <w:noProof/>
          <w:color w:val="003399" w:themeColor="text2"/>
          <w:kern w:val="0"/>
          <w:szCs w:val="24"/>
          <w:lang w:val="en-GB"/>
          <w14:ligatures w14:val="none"/>
        </w:rPr>
        <w:t>CIC: Common Implementation Centre</w:t>
      </w:r>
    </w:p>
    <w:p w14:paraId="6B6031A2"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CINEA: </w:t>
      </w:r>
      <w:bookmarkStart w:id="3" w:name="_Hlk130456821"/>
      <w:r w:rsidRPr="004B6CD8">
        <w:rPr>
          <w:rFonts w:eastAsia="Calibri" w:cs="Times New Roman"/>
          <w:noProof/>
          <w:color w:val="003399" w:themeColor="text2"/>
          <w:kern w:val="0"/>
          <w:szCs w:val="24"/>
          <w:lang w:val="en-GB"/>
          <w14:ligatures w14:val="none"/>
        </w:rPr>
        <w:t>European Climate, Infrastructure and Environment Executive Agency</w:t>
      </w:r>
      <w:bookmarkEnd w:id="3"/>
    </w:p>
    <w:p w14:paraId="645CF927"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AGRI: Directorate-General for Agriculture and Rural Development </w:t>
      </w:r>
    </w:p>
    <w:p w14:paraId="5DCF3D2F"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BUDG: Directorate-General for Budget </w:t>
      </w:r>
    </w:p>
    <w:p w14:paraId="726B231D"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CLIMA: Directorate-General </w:t>
      </w:r>
      <w:bookmarkStart w:id="4" w:name="_Hlk130456835"/>
      <w:r w:rsidRPr="004B6CD8">
        <w:rPr>
          <w:rFonts w:eastAsia="Calibri" w:cs="Times New Roman"/>
          <w:noProof/>
          <w:color w:val="003399" w:themeColor="text2"/>
          <w:kern w:val="0"/>
          <w:szCs w:val="24"/>
          <w:lang w:val="en-GB"/>
          <w14:ligatures w14:val="none"/>
        </w:rPr>
        <w:t xml:space="preserve">for Climate Action </w:t>
      </w:r>
      <w:bookmarkEnd w:id="4"/>
    </w:p>
    <w:p w14:paraId="10954ABC"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COMM: Directorate-General for Communication </w:t>
      </w:r>
    </w:p>
    <w:p w14:paraId="4A60DA6C"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COMP: Directorate-General for Competition </w:t>
      </w:r>
    </w:p>
    <w:p w14:paraId="3BE76699" w14:textId="77777777" w:rsidR="004E0040" w:rsidRPr="004B6CD8" w:rsidRDefault="0057062A" w:rsidP="004E0040">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DG DEFIS: Directorate-General for Defence Industry and Space</w:t>
      </w:r>
    </w:p>
    <w:p w14:paraId="0CBF72FC" w14:textId="03CFA651" w:rsidR="004E0040" w:rsidRPr="004B6CD8" w:rsidRDefault="004E0040" w:rsidP="004E0040">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DIGIT: Directorate-General for Digital Services </w:t>
      </w:r>
    </w:p>
    <w:p w14:paraId="5413F55D" w14:textId="27AAE333"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EAC: Directorate-General for Education, Youth, Sport and Culture </w:t>
      </w:r>
    </w:p>
    <w:p w14:paraId="1CB8C72E"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DG ECFIN: Directorate-General for Economic and Financial Affairs</w:t>
      </w:r>
    </w:p>
    <w:p w14:paraId="4EF489BE"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EMPL: Directorate-General for Employment, Social Affairs and Inclusion </w:t>
      </w:r>
    </w:p>
    <w:p w14:paraId="165510AC"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DG ENER: Directorate-General for Energy</w:t>
      </w:r>
    </w:p>
    <w:p w14:paraId="7030314A" w14:textId="11B70817" w:rsidR="00E73312" w:rsidRPr="004B6CD8" w:rsidRDefault="00E73312"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ENEST: Directorate-General for Enlargement and Eastern Neighbourhood </w:t>
      </w:r>
    </w:p>
    <w:p w14:paraId="586D575F"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ENV: Directorate-General for Environment </w:t>
      </w:r>
    </w:p>
    <w:p w14:paraId="75BDBCE3"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ESTAT: Eurostat </w:t>
      </w:r>
    </w:p>
    <w:p w14:paraId="0B044774"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FISMA: Directorate-General for Financial Stability, Financial Services and Capital Markets Union </w:t>
      </w:r>
    </w:p>
    <w:p w14:paraId="3E35F1B3"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HOME: </w:t>
      </w:r>
      <w:bookmarkStart w:id="5" w:name="_Hlk130481776"/>
      <w:r w:rsidRPr="004B6CD8">
        <w:rPr>
          <w:rFonts w:eastAsia="Calibri" w:cs="Times New Roman"/>
          <w:noProof/>
          <w:color w:val="003399" w:themeColor="text2"/>
          <w:kern w:val="0"/>
          <w:szCs w:val="24"/>
          <w:lang w:val="en-GB"/>
          <w14:ligatures w14:val="none"/>
        </w:rPr>
        <w:t xml:space="preserve">Directorate-General for Migration and Home Affairs </w:t>
      </w:r>
      <w:bookmarkEnd w:id="5"/>
    </w:p>
    <w:p w14:paraId="36864196"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HR: Directorate-General for Human Resources and Security </w:t>
      </w:r>
    </w:p>
    <w:p w14:paraId="578EDE00"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DG INTPA: Directorate-General for International Partnerships</w:t>
      </w:r>
    </w:p>
    <w:p w14:paraId="1EE77CEB"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JUST: Directorate-General for Justice and Consumers </w:t>
      </w:r>
    </w:p>
    <w:p w14:paraId="31B011D2"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MARE: Directorate-General for Maritime Affairs and Fisheries </w:t>
      </w:r>
    </w:p>
    <w:p w14:paraId="568EC33D" w14:textId="0E378AEF" w:rsidR="00C91759" w:rsidRPr="004B6CD8" w:rsidRDefault="00C91759"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DG MENA: Directorate-General for Middle</w:t>
      </w:r>
      <w:r w:rsidR="00964C98" w:rsidRPr="004B6CD8">
        <w:rPr>
          <w:rFonts w:eastAsia="Calibri" w:cs="Times New Roman"/>
          <w:noProof/>
          <w:color w:val="003399" w:themeColor="text2"/>
          <w:kern w:val="0"/>
          <w:szCs w:val="24"/>
          <w:lang w:val="en-GB"/>
          <w14:ligatures w14:val="none"/>
        </w:rPr>
        <w:t xml:space="preserve"> </w:t>
      </w:r>
      <w:r w:rsidRPr="004B6CD8">
        <w:rPr>
          <w:rFonts w:eastAsia="Calibri" w:cs="Times New Roman"/>
          <w:noProof/>
          <w:color w:val="003399" w:themeColor="text2"/>
          <w:kern w:val="0"/>
          <w:szCs w:val="24"/>
          <w:lang w:val="en-GB"/>
          <w14:ligatures w14:val="none"/>
        </w:rPr>
        <w:t>East, North-Africa and Gulf</w:t>
      </w:r>
    </w:p>
    <w:p w14:paraId="4AA885F2"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MOVE: Directorate-General for Mobility and Transport </w:t>
      </w:r>
    </w:p>
    <w:p w14:paraId="3E277AE4"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NEAR: Directorate-General for Neighbourhood and Enlargement Negotiations </w:t>
      </w:r>
    </w:p>
    <w:p w14:paraId="0BA25ED6"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DG REFORM: Directorate-General for Structural Reform Support</w:t>
      </w:r>
    </w:p>
    <w:p w14:paraId="6F1D01B2"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REGIO: Directorate-General for Regional and Urban Policy </w:t>
      </w:r>
    </w:p>
    <w:p w14:paraId="46D6EE38"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RTD: Directorate-General for Research and Innovation </w:t>
      </w:r>
    </w:p>
    <w:p w14:paraId="3E7DAB31"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SANTE: Directorate-General for Health and Food Safety </w:t>
      </w:r>
    </w:p>
    <w:p w14:paraId="0352167D" w14:textId="5ABCAD6D" w:rsidR="00C91759" w:rsidRPr="004B6CD8" w:rsidRDefault="00C91759"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DG SCIC: Directorate-General for Interpretation</w:t>
      </w:r>
    </w:p>
    <w:p w14:paraId="761D5043"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DG TAXUD: Directorate-General </w:t>
      </w:r>
      <w:bookmarkStart w:id="6" w:name="_Hlk130482510"/>
      <w:r w:rsidRPr="004B6CD8">
        <w:rPr>
          <w:rFonts w:eastAsia="Calibri" w:cs="Times New Roman"/>
          <w:noProof/>
          <w:color w:val="003399" w:themeColor="text2"/>
          <w:kern w:val="0"/>
          <w:szCs w:val="24"/>
          <w:lang w:val="en-GB"/>
          <w14:ligatures w14:val="none"/>
        </w:rPr>
        <w:t xml:space="preserve">for </w:t>
      </w:r>
      <w:bookmarkStart w:id="7" w:name="_Hlk130460645"/>
      <w:r w:rsidRPr="004B6CD8">
        <w:rPr>
          <w:rFonts w:eastAsia="Calibri" w:cs="Times New Roman"/>
          <w:noProof/>
          <w:color w:val="003399" w:themeColor="text2"/>
          <w:kern w:val="0"/>
          <w:szCs w:val="24"/>
          <w:lang w:val="en-GB"/>
          <w14:ligatures w14:val="none"/>
        </w:rPr>
        <w:t xml:space="preserve">Taxation and Customs Union </w:t>
      </w:r>
      <w:bookmarkEnd w:id="6"/>
      <w:bookmarkEnd w:id="7"/>
    </w:p>
    <w:p w14:paraId="6004BE13" w14:textId="77777777" w:rsidR="00C91759" w:rsidRPr="004B6CD8" w:rsidRDefault="00C91759"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DGT: Directorate-General for Translation</w:t>
      </w:r>
    </w:p>
    <w:p w14:paraId="6E5DE042" w14:textId="0DBB2846"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EACEA: Education and Culture Executive Agency </w:t>
      </w:r>
    </w:p>
    <w:p w14:paraId="22713DAA"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lang w:val="en-GB"/>
          <w14:ligatures w14:val="none"/>
        </w:rPr>
        <w:t>EISMEA:</w:t>
      </w:r>
      <w:r w:rsidRPr="004B6CD8">
        <w:rPr>
          <w:rFonts w:eastAsia="Calibri" w:cs="Times New Roman"/>
          <w:noProof/>
          <w:color w:val="003399" w:themeColor="text2"/>
          <w:kern w:val="0"/>
          <w:szCs w:val="24"/>
          <w:lang w:val="en-GB"/>
          <w14:ligatures w14:val="none"/>
        </w:rPr>
        <w:t xml:space="preserve"> European Innovation Council and Small and Medium-sized Enterprises Executive Agency</w:t>
      </w:r>
    </w:p>
    <w:p w14:paraId="1E1494CB" w14:textId="35B181EA" w:rsidR="0027160A" w:rsidRPr="004B6CD8" w:rsidRDefault="0027160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EPSO: European Personnel Selection Office</w:t>
      </w:r>
    </w:p>
    <w:p w14:paraId="4A7D0E81"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ERCEA: European Research Council Executive Agency </w:t>
      </w:r>
    </w:p>
    <w:p w14:paraId="7D5808E3"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FPI: Service for Foreign Policy Instruments </w:t>
      </w:r>
    </w:p>
    <w:p w14:paraId="3559F283" w14:textId="3BF9DEF8"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IAS: Internal Audit Service</w:t>
      </w:r>
    </w:p>
    <w:p w14:paraId="1F23F45F" w14:textId="183B0319" w:rsidR="00800356" w:rsidRPr="004B6CD8" w:rsidRDefault="00800356"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HaDEA: European Health and Digital Executive Agency</w:t>
      </w:r>
    </w:p>
    <w:p w14:paraId="66D325E8" w14:textId="4439BD76" w:rsidR="00C91759" w:rsidRPr="004B6CD8" w:rsidRDefault="00C91759"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HERA: Health Emergency Preparedness and Response Authority</w:t>
      </w:r>
    </w:p>
    <w:p w14:paraId="56B963C8"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IT: Information technology</w:t>
      </w:r>
    </w:p>
    <w:p w14:paraId="2135C17B"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JRC: </w:t>
      </w:r>
      <w:bookmarkStart w:id="8" w:name="_Hlk130456891"/>
      <w:r w:rsidRPr="004B6CD8">
        <w:rPr>
          <w:rFonts w:eastAsia="Calibri" w:cs="Times New Roman"/>
          <w:noProof/>
          <w:color w:val="003399" w:themeColor="text2"/>
          <w:kern w:val="0"/>
          <w:szCs w:val="24"/>
          <w:lang w:val="en-GB"/>
          <w14:ligatures w14:val="none"/>
        </w:rPr>
        <w:t xml:space="preserve">Joint Research Centre </w:t>
      </w:r>
      <w:bookmarkEnd w:id="8"/>
    </w:p>
    <w:p w14:paraId="58254249"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OIB: Office for Infrastructure and Logistics in Brussels </w:t>
      </w:r>
    </w:p>
    <w:p w14:paraId="0CB4CC98" w14:textId="17021680"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OIL: Office for Infrastructure and Logistics in Luxembourg </w:t>
      </w:r>
    </w:p>
    <w:p w14:paraId="0F199533"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PMO: Office for the Administration and Payment of Individual Entitlements </w:t>
      </w:r>
    </w:p>
    <w:p w14:paraId="637D7EEC"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REA: Research Executive Agency </w:t>
      </w:r>
    </w:p>
    <w:p w14:paraId="607B02D1" w14:textId="77777777" w:rsidR="0057062A" w:rsidRPr="004B6CD8" w:rsidRDefault="0057062A" w:rsidP="0057062A">
      <w:pPr>
        <w:spacing w:after="0"/>
        <w:rPr>
          <w:rFonts w:eastAsia="Calibri" w:cs="Times New Roman"/>
          <w:noProof/>
          <w:color w:val="003399" w:themeColor="text2"/>
          <w:kern w:val="0"/>
          <w:szCs w:val="24"/>
          <w:lang w:val="en-GB"/>
          <w14:ligatures w14:val="none"/>
        </w:rPr>
      </w:pPr>
      <w:r w:rsidRPr="004B6CD8">
        <w:rPr>
          <w:rFonts w:eastAsia="Calibri" w:cs="Times New Roman"/>
          <w:noProof/>
          <w:color w:val="003399" w:themeColor="text2"/>
          <w:kern w:val="0"/>
          <w:szCs w:val="24"/>
          <w:lang w:val="en-GB"/>
          <w14:ligatures w14:val="none"/>
        </w:rPr>
        <w:t xml:space="preserve">SG: Secretariat-General </w:t>
      </w:r>
    </w:p>
    <w:bookmarkEnd w:id="2"/>
    <w:p w14:paraId="6A27F905" w14:textId="77777777" w:rsidR="0057062A" w:rsidRPr="004B6CD8" w:rsidRDefault="0057062A" w:rsidP="0057062A">
      <w:pPr>
        <w:rPr>
          <w:rFonts w:eastAsia="Calibri" w:cs="Times New Roman"/>
          <w:noProof/>
          <w:kern w:val="0"/>
          <w:lang w:val="en-GB"/>
          <w14:ligatures w14:val="none"/>
        </w:rPr>
        <w:sectPr w:rsidR="0057062A" w:rsidRPr="004B6CD8" w:rsidSect="00B06C55">
          <w:headerReference w:type="even" r:id="rId18"/>
          <w:headerReference w:type="default" r:id="rId19"/>
          <w:footerReference w:type="even" r:id="rId20"/>
          <w:footerReference w:type="default" r:id="rId21"/>
          <w:headerReference w:type="first" r:id="rId22"/>
          <w:footerReference w:type="first" r:id="rId23"/>
          <w:endnotePr>
            <w:pos w:val="sectEnd"/>
            <w:numFmt w:val="lowerLetter"/>
          </w:endnotePr>
          <w:pgSz w:w="11907" w:h="16839" w:code="9"/>
          <w:pgMar w:top="1247" w:right="1417" w:bottom="1247" w:left="1417" w:header="680" w:footer="566" w:gutter="0"/>
          <w:cols w:space="720"/>
          <w:docGrid w:linePitch="272"/>
        </w:sectPr>
      </w:pPr>
    </w:p>
    <w:p w14:paraId="1A8920A4" w14:textId="5800F0E6" w:rsidR="0057062A" w:rsidRPr="004B6CD8" w:rsidRDefault="0057062A" w:rsidP="00396EAF">
      <w:pPr>
        <w:rPr>
          <w:rFonts w:eastAsia="Calibri" w:cs="Times New Roman"/>
          <w:noProof/>
          <w:color w:val="003399" w:themeColor="text2"/>
          <w:kern w:val="0"/>
          <w:sz w:val="48"/>
          <w:szCs w:val="48"/>
          <w:lang w:val="en-GB"/>
          <w14:ligatures w14:val="none"/>
        </w:rPr>
      </w:pPr>
      <w:bookmarkStart w:id="9" w:name="_Toc132290834"/>
      <w:bookmarkStart w:id="10" w:name="_Toc134793981"/>
      <w:r w:rsidRPr="004B6CD8">
        <w:rPr>
          <w:rFonts w:eastAsia="Calibri" w:cs="Times New Roman"/>
          <w:noProof/>
          <w:color w:val="003399" w:themeColor="text2"/>
          <w:kern w:val="0"/>
          <w:sz w:val="48"/>
          <w:szCs w:val="48"/>
          <w:lang w:val="en-GB"/>
          <w14:ligatures w14:val="none"/>
        </w:rPr>
        <w:t xml:space="preserve">Context of this </w:t>
      </w:r>
      <w:bookmarkEnd w:id="9"/>
      <w:bookmarkEnd w:id="10"/>
      <w:r w:rsidR="009A2487" w:rsidRPr="004B6CD8">
        <w:rPr>
          <w:rFonts w:eastAsia="Calibri" w:cs="Times New Roman"/>
          <w:noProof/>
          <w:color w:val="003399" w:themeColor="text2"/>
          <w:kern w:val="0"/>
          <w:sz w:val="48"/>
          <w:szCs w:val="48"/>
          <w:lang w:val="en-GB"/>
          <w14:ligatures w14:val="none"/>
        </w:rPr>
        <w:t>Staff Working Document</w:t>
      </w:r>
    </w:p>
    <w:p w14:paraId="19B5F5AB" w14:textId="37267AE0" w:rsidR="0057062A" w:rsidRPr="004B6CD8" w:rsidRDefault="0057062A" w:rsidP="0057062A">
      <w:pPr>
        <w:jc w:val="both"/>
        <w:rPr>
          <w:rFonts w:eastAsia="Calibri" w:cs="Times New Roman"/>
          <w:noProof/>
          <w:kern w:val="0"/>
          <w:lang w:val="en-GB" w:eastAsia="zh-CN"/>
          <w14:ligatures w14:val="none"/>
        </w:rPr>
      </w:pPr>
      <w:r w:rsidRPr="004B6CD8">
        <w:rPr>
          <w:rStyle w:val="Strong"/>
          <w:noProof/>
        </w:rPr>
        <w:t>Part 1</w:t>
      </w:r>
      <w:r w:rsidRPr="004B6CD8">
        <w:rPr>
          <w:rFonts w:eastAsia="Calibri" w:cs="Times New Roman"/>
          <w:noProof/>
          <w:kern w:val="0"/>
          <w:lang w:val="en-GB" w:eastAsia="zh-CN"/>
          <w14:ligatures w14:val="none"/>
        </w:rPr>
        <w:t xml:space="preserve"> of this </w:t>
      </w:r>
      <w:r w:rsidR="009A2487" w:rsidRPr="004B6CD8">
        <w:rPr>
          <w:rFonts w:eastAsia="Calibri" w:cs="Times New Roman"/>
          <w:noProof/>
          <w:kern w:val="0"/>
          <w:lang w:val="en-GB" w:eastAsia="zh-CN"/>
          <w14:ligatures w14:val="none"/>
        </w:rPr>
        <w:t xml:space="preserve">Staff Working Document </w:t>
      </w:r>
      <w:r w:rsidRPr="004B6CD8">
        <w:rPr>
          <w:rFonts w:eastAsia="Calibri" w:cs="Times New Roman"/>
          <w:noProof/>
          <w:kern w:val="0"/>
          <w:lang w:val="en-GB" w:eastAsia="zh-CN"/>
          <w14:ligatures w14:val="none"/>
        </w:rPr>
        <w:t>contains:</w:t>
      </w:r>
    </w:p>
    <w:p w14:paraId="749E5C89" w14:textId="2E1F8153" w:rsidR="0057062A" w:rsidRPr="004B6CD8" w:rsidRDefault="0057062A" w:rsidP="00066C87">
      <w:pPr>
        <w:pStyle w:val="amprLISTtealbullets-L1"/>
        <w:rPr>
          <w:noProof/>
        </w:rPr>
      </w:pPr>
      <w:r w:rsidRPr="004B6CD8">
        <w:rPr>
          <w:noProof/>
        </w:rPr>
        <w:t xml:space="preserve">a summary of the </w:t>
      </w:r>
      <w:r w:rsidR="00461191" w:rsidRPr="004B6CD8">
        <w:rPr>
          <w:noProof/>
        </w:rPr>
        <w:t>2</w:t>
      </w:r>
      <w:r w:rsidR="005A4190" w:rsidRPr="004B6CD8">
        <w:rPr>
          <w:noProof/>
        </w:rPr>
        <w:t>9</w:t>
      </w:r>
      <w:r w:rsidRPr="004B6CD8">
        <w:rPr>
          <w:noProof/>
        </w:rPr>
        <w:t xml:space="preserve"> finalised </w:t>
      </w:r>
      <w:r w:rsidR="005A4190" w:rsidRPr="004B6CD8">
        <w:rPr>
          <w:noProof/>
        </w:rPr>
        <w:t>assurance</w:t>
      </w:r>
      <w:r w:rsidRPr="004B6CD8">
        <w:rPr>
          <w:noProof/>
        </w:rPr>
        <w:t xml:space="preserve"> audit engagements</w:t>
      </w:r>
      <w:r w:rsidR="003116C6">
        <w:rPr>
          <w:noProof/>
        </w:rPr>
        <w:t xml:space="preserve"> </w:t>
      </w:r>
      <w:r w:rsidR="00511068">
        <w:rPr>
          <w:noProof/>
        </w:rPr>
        <w:t>(</w:t>
      </w:r>
      <w:r w:rsidR="00511068">
        <w:rPr>
          <w:rStyle w:val="FootnoteReference"/>
          <w:noProof/>
        </w:rPr>
        <w:footnoteReference w:id="2"/>
      </w:r>
      <w:r w:rsidR="00511068">
        <w:rPr>
          <w:noProof/>
        </w:rPr>
        <w:t>)</w:t>
      </w:r>
      <w:r w:rsidR="005A4190" w:rsidRPr="004B6CD8">
        <w:rPr>
          <w:noProof/>
        </w:rPr>
        <w:t xml:space="preserve"> </w:t>
      </w:r>
      <w:r w:rsidRPr="004B6CD8">
        <w:rPr>
          <w:noProof/>
        </w:rPr>
        <w:t>performed as part of the 202</w:t>
      </w:r>
      <w:r w:rsidR="005A4190" w:rsidRPr="004B6CD8">
        <w:rPr>
          <w:noProof/>
        </w:rPr>
        <w:t>5</w:t>
      </w:r>
      <w:r w:rsidRPr="004B6CD8">
        <w:rPr>
          <w:noProof/>
        </w:rPr>
        <w:t xml:space="preserve"> audit plan </w:t>
      </w:r>
      <w:r w:rsidR="00E65FEE">
        <w:rPr>
          <w:noProof/>
        </w:rPr>
        <w:t xml:space="preserve">of the Internal Audit Service (IAS) </w:t>
      </w:r>
      <w:r w:rsidRPr="004B6CD8">
        <w:rPr>
          <w:noProof/>
        </w:rPr>
        <w:t>(</w:t>
      </w:r>
      <w:r w:rsidR="00E65FEE">
        <w:rPr>
          <w:noProof/>
        </w:rPr>
        <w:t>i.</w:t>
      </w:r>
      <w:r w:rsidR="00F54FA6">
        <w:rPr>
          <w:noProof/>
        </w:rPr>
        <w:t xml:space="preserve">e. </w:t>
      </w:r>
      <w:r w:rsidRPr="004B6CD8">
        <w:rPr>
          <w:noProof/>
        </w:rPr>
        <w:t xml:space="preserve">audits </w:t>
      </w:r>
      <w:r w:rsidR="00F54FA6">
        <w:rPr>
          <w:noProof/>
        </w:rPr>
        <w:t xml:space="preserve">for which the </w:t>
      </w:r>
      <w:r w:rsidRPr="004B6CD8">
        <w:rPr>
          <w:noProof/>
        </w:rPr>
        <w:t>reports were issued between 1 February 202</w:t>
      </w:r>
      <w:r w:rsidR="005A4190" w:rsidRPr="004B6CD8">
        <w:rPr>
          <w:noProof/>
        </w:rPr>
        <w:t>5</w:t>
      </w:r>
      <w:r w:rsidRPr="004B6CD8">
        <w:rPr>
          <w:noProof/>
        </w:rPr>
        <w:t xml:space="preserve"> and 31 </w:t>
      </w:r>
      <w:r w:rsidR="005A4190" w:rsidRPr="004B6CD8">
        <w:rPr>
          <w:noProof/>
        </w:rPr>
        <w:t>December</w:t>
      </w:r>
      <w:r w:rsidRPr="004B6CD8">
        <w:rPr>
          <w:noProof/>
        </w:rPr>
        <w:t xml:space="preserve"> 202</w:t>
      </w:r>
      <w:r w:rsidR="00461191" w:rsidRPr="004B6CD8">
        <w:rPr>
          <w:noProof/>
        </w:rPr>
        <w:t>5</w:t>
      </w:r>
      <w:r w:rsidR="009F288C" w:rsidRPr="004B6CD8">
        <w:rPr>
          <w:noProof/>
        </w:rPr>
        <w:t>)</w:t>
      </w:r>
      <w:r w:rsidR="003116C6">
        <w:rPr>
          <w:noProof/>
        </w:rPr>
        <w:t xml:space="preserve"> </w:t>
      </w:r>
      <w:r w:rsidR="00511068">
        <w:rPr>
          <w:noProof/>
        </w:rPr>
        <w:t>(</w:t>
      </w:r>
      <w:r w:rsidR="00511068">
        <w:rPr>
          <w:rStyle w:val="FootnoteReference"/>
          <w:noProof/>
        </w:rPr>
        <w:footnoteReference w:id="3"/>
      </w:r>
      <w:r w:rsidR="00511068">
        <w:rPr>
          <w:noProof/>
        </w:rPr>
        <w:t>)</w:t>
      </w:r>
      <w:r w:rsidR="00F54FA6">
        <w:rPr>
          <w:noProof/>
        </w:rPr>
        <w:t>;</w:t>
      </w:r>
    </w:p>
    <w:p w14:paraId="7A50F58B" w14:textId="6C6F42B7" w:rsidR="0057062A" w:rsidRPr="004B6CD8" w:rsidRDefault="0057062A" w:rsidP="00066C87">
      <w:pPr>
        <w:pStyle w:val="amprLISTtealbullets-L1"/>
        <w:rPr>
          <w:noProof/>
        </w:rPr>
      </w:pPr>
      <w:r w:rsidRPr="004B6CD8">
        <w:rPr>
          <w:noProof/>
        </w:rPr>
        <w:t>the main recommendations (critical and very important)</w:t>
      </w:r>
      <w:r w:rsidR="003116C6">
        <w:rPr>
          <w:noProof/>
        </w:rPr>
        <w:t xml:space="preserve"> </w:t>
      </w:r>
      <w:r w:rsidRPr="004B6CD8">
        <w:rPr>
          <w:rFonts w:cs="Calibri"/>
          <w:noProof/>
        </w:rPr>
        <w:t>(</w:t>
      </w:r>
      <w:r w:rsidRPr="004B6CD8">
        <w:rPr>
          <w:rFonts w:cs="TimesNewRoman"/>
          <w:noProof/>
          <w:szCs w:val="24"/>
          <w:vertAlign w:val="superscript"/>
        </w:rPr>
        <w:footnoteReference w:id="4"/>
      </w:r>
      <w:r w:rsidRPr="004B6CD8">
        <w:rPr>
          <w:rFonts w:cs="Calibri"/>
          <w:noProof/>
        </w:rPr>
        <w:t>)</w:t>
      </w:r>
      <w:r w:rsidRPr="004B6CD8">
        <w:rPr>
          <w:noProof/>
        </w:rPr>
        <w:t xml:space="preserve"> </w:t>
      </w:r>
      <w:r w:rsidR="00F51172">
        <w:rPr>
          <w:noProof/>
        </w:rPr>
        <w:t xml:space="preserve">resulting </w:t>
      </w:r>
      <w:r w:rsidRPr="004B6CD8">
        <w:rPr>
          <w:noProof/>
        </w:rPr>
        <w:t xml:space="preserve">from these </w:t>
      </w:r>
      <w:r w:rsidR="00E035AC" w:rsidRPr="004B6CD8">
        <w:rPr>
          <w:noProof/>
        </w:rPr>
        <w:t xml:space="preserve">audit </w:t>
      </w:r>
      <w:r w:rsidRPr="004B6CD8">
        <w:rPr>
          <w:noProof/>
        </w:rPr>
        <w:t>engagements</w:t>
      </w:r>
      <w:r w:rsidR="00F51172">
        <w:rPr>
          <w:noProof/>
        </w:rPr>
        <w:t>;</w:t>
      </w:r>
    </w:p>
    <w:p w14:paraId="0EE8C66B" w14:textId="0E90AD75" w:rsidR="0057062A" w:rsidRPr="004B6CD8" w:rsidRDefault="0057062A" w:rsidP="00066C87">
      <w:pPr>
        <w:pStyle w:val="amprLISTtealbullets-L1"/>
        <w:rPr>
          <w:noProof/>
        </w:rPr>
      </w:pPr>
      <w:r w:rsidRPr="004B6CD8">
        <w:rPr>
          <w:noProof/>
        </w:rPr>
        <w:t xml:space="preserve">information provided by the </w:t>
      </w:r>
      <w:r w:rsidR="00F51172">
        <w:rPr>
          <w:noProof/>
        </w:rPr>
        <w:t>d</w:t>
      </w:r>
      <w:r w:rsidRPr="004B6CD8">
        <w:rPr>
          <w:noProof/>
        </w:rPr>
        <w:t>irectorates-</w:t>
      </w:r>
      <w:r w:rsidR="00F51172">
        <w:rPr>
          <w:noProof/>
        </w:rPr>
        <w:t>g</w:t>
      </w:r>
      <w:r w:rsidRPr="004B6CD8">
        <w:rPr>
          <w:noProof/>
        </w:rPr>
        <w:t xml:space="preserve">eneral/services on the actions </w:t>
      </w:r>
      <w:r w:rsidR="00A67B88" w:rsidRPr="004B6CD8">
        <w:rPr>
          <w:noProof/>
        </w:rPr>
        <w:t>drawn up</w:t>
      </w:r>
      <w:r w:rsidRPr="004B6CD8">
        <w:rPr>
          <w:noProof/>
        </w:rPr>
        <w:t xml:space="preserve"> and/or implemented to address the IAS audit recommendations. </w:t>
      </w:r>
    </w:p>
    <w:p w14:paraId="1310A029" w14:textId="2B157235" w:rsidR="0057062A" w:rsidRPr="004B6CD8" w:rsidRDefault="0057062A" w:rsidP="0057062A">
      <w:pPr>
        <w:jc w:val="both"/>
        <w:rPr>
          <w:rFonts w:eastAsia="Calibri" w:cs="Times New Roman"/>
          <w:noProof/>
          <w:kern w:val="0"/>
          <w:lang w:val="en-GB" w:eastAsia="zh-CN"/>
          <w14:ligatures w14:val="none"/>
        </w:rPr>
      </w:pPr>
      <w:r w:rsidRPr="004B6CD8">
        <w:rPr>
          <w:rFonts w:eastAsia="Calibri" w:cs="Times New Roman"/>
          <w:noProof/>
          <w:kern w:val="0"/>
          <w:lang w:val="en-GB" w:eastAsia="zh-CN"/>
          <w14:ligatures w14:val="none"/>
        </w:rPr>
        <w:t>Each audit engagement followed the standard professional validation</w:t>
      </w:r>
      <w:r w:rsidR="00A67B88" w:rsidRPr="004B6CD8">
        <w:rPr>
          <w:rFonts w:eastAsia="Calibri" w:cs="Times New Roman"/>
          <w:noProof/>
          <w:kern w:val="0"/>
          <w:lang w:val="en-GB" w:eastAsia="zh-CN"/>
          <w14:ligatures w14:val="none"/>
        </w:rPr>
        <w:t xml:space="preserve"> procedures </w:t>
      </w:r>
      <w:r w:rsidRPr="004B6CD8">
        <w:rPr>
          <w:rFonts w:eastAsia="Calibri" w:cs="Times New Roman"/>
          <w:noProof/>
          <w:kern w:val="0"/>
          <w:lang w:val="en-GB" w:eastAsia="zh-CN"/>
          <w14:ligatures w14:val="none"/>
        </w:rPr>
        <w:t xml:space="preserve">and contradictory procedures </w:t>
      </w:r>
      <w:r w:rsidR="00A67B88" w:rsidRPr="004B6CD8">
        <w:rPr>
          <w:rFonts w:eastAsia="Calibri" w:cs="Times New Roman"/>
          <w:noProof/>
          <w:kern w:val="0"/>
          <w:lang w:val="en-GB" w:eastAsia="zh-CN"/>
          <w14:ligatures w14:val="none"/>
        </w:rPr>
        <w:t>involving</w:t>
      </w:r>
      <w:r w:rsidRPr="004B6CD8">
        <w:rPr>
          <w:rFonts w:eastAsia="Calibri" w:cs="Times New Roman"/>
          <w:noProof/>
          <w:kern w:val="0"/>
          <w:lang w:val="en-GB" w:eastAsia="zh-CN"/>
          <w14:ligatures w14:val="none"/>
        </w:rPr>
        <w:t xml:space="preserve"> auditor and auditee </w:t>
      </w:r>
      <w:r w:rsidR="008706A9">
        <w:rPr>
          <w:rFonts w:eastAsia="Calibri" w:cs="Times New Roman"/>
          <w:noProof/>
          <w:kern w:val="0"/>
          <w:lang w:val="en-GB" w:eastAsia="zh-CN"/>
          <w14:ligatures w14:val="none"/>
        </w:rPr>
        <w:t xml:space="preserve">that were </w:t>
      </w:r>
      <w:r w:rsidR="00A67B88" w:rsidRPr="004B6CD8">
        <w:rPr>
          <w:rFonts w:eastAsia="Calibri" w:cs="Times New Roman"/>
          <w:noProof/>
          <w:kern w:val="0"/>
          <w:lang w:val="en-GB" w:eastAsia="zh-CN"/>
          <w14:ligatures w14:val="none"/>
        </w:rPr>
        <w:t xml:space="preserve">applicable when the engagement was </w:t>
      </w:r>
      <w:r w:rsidRPr="004B6CD8">
        <w:rPr>
          <w:rFonts w:eastAsia="Calibri" w:cs="Times New Roman"/>
          <w:noProof/>
          <w:kern w:val="0"/>
          <w:lang w:val="en-GB" w:eastAsia="zh-CN"/>
          <w14:ligatures w14:val="none"/>
        </w:rPr>
        <w:t>finalis</w:t>
      </w:r>
      <w:r w:rsidR="00A67B88" w:rsidRPr="004B6CD8">
        <w:rPr>
          <w:rFonts w:eastAsia="Calibri" w:cs="Times New Roman"/>
          <w:noProof/>
          <w:kern w:val="0"/>
          <w:lang w:val="en-GB" w:eastAsia="zh-CN"/>
          <w14:ligatures w14:val="none"/>
        </w:rPr>
        <w:t>ed</w:t>
      </w:r>
      <w:r w:rsidRPr="004B6CD8">
        <w:rPr>
          <w:rFonts w:eastAsia="Calibri" w:cs="Times New Roman"/>
          <w:noProof/>
          <w:kern w:val="0"/>
          <w:lang w:val="en-GB" w:eastAsia="zh-CN"/>
          <w14:ligatures w14:val="none"/>
        </w:rPr>
        <w:t xml:space="preserve">. The summary of each engagement aims </w:t>
      </w:r>
      <w:r w:rsidR="00A67B88" w:rsidRPr="004B6CD8">
        <w:rPr>
          <w:rFonts w:eastAsia="Calibri" w:cs="Times New Roman"/>
          <w:noProof/>
          <w:kern w:val="0"/>
          <w:lang w:val="en-GB" w:eastAsia="zh-CN"/>
          <w14:ligatures w14:val="none"/>
        </w:rPr>
        <w:t>to</w:t>
      </w:r>
      <w:r w:rsidRPr="004B6CD8">
        <w:rPr>
          <w:rFonts w:eastAsia="Calibri" w:cs="Times New Roman"/>
          <w:noProof/>
          <w:kern w:val="0"/>
          <w:lang w:val="en-GB" w:eastAsia="zh-CN"/>
          <w14:ligatures w14:val="none"/>
        </w:rPr>
        <w:t xml:space="preserve"> provi</w:t>
      </w:r>
      <w:r w:rsidR="00A67B88" w:rsidRPr="004B6CD8">
        <w:rPr>
          <w:rFonts w:eastAsia="Calibri" w:cs="Times New Roman"/>
          <w:noProof/>
          <w:kern w:val="0"/>
          <w:lang w:val="en-GB" w:eastAsia="zh-CN"/>
          <w14:ligatures w14:val="none"/>
        </w:rPr>
        <w:t>de</w:t>
      </w:r>
      <w:r w:rsidRPr="004B6CD8">
        <w:rPr>
          <w:rFonts w:eastAsia="Calibri" w:cs="Times New Roman"/>
          <w:noProof/>
          <w:kern w:val="0"/>
          <w:lang w:val="en-GB" w:eastAsia="zh-CN"/>
          <w14:ligatures w14:val="none"/>
        </w:rPr>
        <w:t xml:space="preserve"> an overview of the audits and their main results.</w:t>
      </w:r>
    </w:p>
    <w:p w14:paraId="7FDCFB97" w14:textId="52DADFC0" w:rsidR="0057062A" w:rsidRPr="004B6CD8" w:rsidRDefault="0057062A" w:rsidP="0057062A">
      <w:pPr>
        <w:jc w:val="both"/>
        <w:rPr>
          <w:rFonts w:eastAsia="Calibri" w:cs="Times New Roman"/>
          <w:noProof/>
          <w:kern w:val="0"/>
          <w:lang w:val="en-GB" w:eastAsia="zh-CN"/>
          <w14:ligatures w14:val="none"/>
        </w:rPr>
      </w:pPr>
      <w:r w:rsidRPr="004B6CD8">
        <w:rPr>
          <w:rStyle w:val="Strong"/>
          <w:noProof/>
        </w:rPr>
        <w:t>Part 2</w:t>
      </w:r>
      <w:r w:rsidRPr="004B6CD8">
        <w:rPr>
          <w:rFonts w:eastAsia="Calibri" w:cs="Times New Roman"/>
          <w:noProof/>
          <w:kern w:val="0"/>
          <w:lang w:val="en-GB" w:eastAsia="zh-CN"/>
          <w14:ligatures w14:val="none"/>
        </w:rPr>
        <w:t xml:space="preserve"> of this </w:t>
      </w:r>
      <w:r w:rsidR="009A2487" w:rsidRPr="004B6CD8">
        <w:rPr>
          <w:rFonts w:eastAsia="Calibri" w:cs="Times New Roman"/>
          <w:noProof/>
          <w:kern w:val="0"/>
          <w:lang w:val="en-GB" w:eastAsia="zh-CN"/>
          <w14:ligatures w14:val="none"/>
        </w:rPr>
        <w:t xml:space="preserve">Staff Working Document </w:t>
      </w:r>
      <w:r w:rsidRPr="004B6CD8">
        <w:rPr>
          <w:rFonts w:eastAsia="Calibri" w:cs="Times New Roman"/>
          <w:noProof/>
          <w:kern w:val="0"/>
          <w:lang w:val="en-GB" w:eastAsia="zh-CN"/>
          <w14:ligatures w14:val="none"/>
        </w:rPr>
        <w:t>includes a summary of the results of the IAS</w:t>
      </w:r>
      <w:r w:rsidR="008706A9">
        <w:rPr>
          <w:rFonts w:eastAsia="Calibri" w:cs="Times New Roman"/>
          <w:noProof/>
          <w:kern w:val="0"/>
          <w:lang w:val="en-GB" w:eastAsia="zh-CN"/>
          <w14:ligatures w14:val="none"/>
        </w:rPr>
        <w:t>’s</w:t>
      </w:r>
      <w:r w:rsidRPr="004B6CD8">
        <w:rPr>
          <w:rFonts w:eastAsia="Calibri" w:cs="Times New Roman"/>
          <w:noProof/>
          <w:kern w:val="0"/>
          <w:lang w:val="en-GB" w:eastAsia="zh-CN"/>
          <w14:ligatures w14:val="none"/>
        </w:rPr>
        <w:t xml:space="preserve"> follow-up engagements performed between 1 February 202</w:t>
      </w:r>
      <w:r w:rsidR="00E035AC" w:rsidRPr="004B6CD8">
        <w:rPr>
          <w:rFonts w:eastAsia="Calibri" w:cs="Times New Roman"/>
          <w:noProof/>
          <w:kern w:val="0"/>
          <w:lang w:val="en-GB" w:eastAsia="zh-CN"/>
          <w14:ligatures w14:val="none"/>
        </w:rPr>
        <w:t>5</w:t>
      </w:r>
      <w:r w:rsidRPr="004B6CD8">
        <w:rPr>
          <w:rFonts w:eastAsia="Calibri" w:cs="Times New Roman"/>
          <w:noProof/>
          <w:kern w:val="0"/>
          <w:lang w:val="en-GB" w:eastAsia="zh-CN"/>
          <w14:ligatures w14:val="none"/>
        </w:rPr>
        <w:t xml:space="preserve"> and 31 </w:t>
      </w:r>
      <w:r w:rsidR="00E035AC" w:rsidRPr="004B6CD8">
        <w:rPr>
          <w:noProof/>
          <w:lang w:val="en-GB"/>
        </w:rPr>
        <w:t>December</w:t>
      </w:r>
      <w:r w:rsidRPr="004B6CD8">
        <w:rPr>
          <w:rFonts w:eastAsia="Calibri" w:cs="Times New Roman"/>
          <w:noProof/>
          <w:kern w:val="0"/>
          <w:lang w:val="en-GB" w:eastAsia="zh-CN"/>
          <w14:ligatures w14:val="none"/>
        </w:rPr>
        <w:t xml:space="preserve"> 202</w:t>
      </w:r>
      <w:r w:rsidR="009F288C" w:rsidRPr="004B6CD8">
        <w:rPr>
          <w:rFonts w:eastAsia="Calibri" w:cs="Times New Roman"/>
          <w:noProof/>
          <w:kern w:val="0"/>
          <w:lang w:val="en-GB" w:eastAsia="zh-CN"/>
          <w14:ligatures w14:val="none"/>
        </w:rPr>
        <w:t>5</w:t>
      </w:r>
      <w:r w:rsidR="003116C6">
        <w:rPr>
          <w:rFonts w:eastAsia="Calibri" w:cs="Times New Roman"/>
          <w:noProof/>
          <w:kern w:val="0"/>
          <w:lang w:val="en-GB" w:eastAsia="zh-CN"/>
          <w14:ligatures w14:val="none"/>
        </w:rPr>
        <w:t xml:space="preserve"> </w:t>
      </w:r>
      <w:r w:rsidRPr="004B6CD8">
        <w:rPr>
          <w:rFonts w:eastAsia="Calibri" w:cs="Times New Roman"/>
          <w:noProof/>
          <w:kern w:val="0"/>
          <w:lang w:val="en-GB" w:eastAsia="zh-CN"/>
          <w14:ligatures w14:val="none"/>
        </w:rPr>
        <w:t>(</w:t>
      </w:r>
      <w:r w:rsidRPr="004B6CD8">
        <w:rPr>
          <w:rFonts w:eastAsia="Calibri" w:cs="Times New Roman"/>
          <w:noProof/>
          <w:kern w:val="0"/>
          <w:vertAlign w:val="superscript"/>
          <w:lang w:val="en-GB" w:eastAsia="zh-CN"/>
          <w14:ligatures w14:val="none"/>
        </w:rPr>
        <w:footnoteReference w:id="5"/>
      </w:r>
      <w:r w:rsidRPr="004B6CD8">
        <w:rPr>
          <w:rFonts w:eastAsia="Calibri" w:cs="Times New Roman"/>
          <w:noProof/>
          <w:kern w:val="0"/>
          <w:lang w:val="en-GB" w:eastAsia="zh-CN"/>
          <w14:ligatures w14:val="none"/>
        </w:rPr>
        <w:t>)</w:t>
      </w:r>
      <w:r w:rsidR="008706A9">
        <w:rPr>
          <w:rFonts w:eastAsia="Calibri" w:cs="Times New Roman"/>
          <w:noProof/>
          <w:kern w:val="0"/>
          <w:lang w:val="en-GB" w:eastAsia="zh-CN"/>
          <w14:ligatures w14:val="none"/>
        </w:rPr>
        <w:t>. These</w:t>
      </w:r>
      <w:r w:rsidRPr="004B6CD8">
        <w:rPr>
          <w:rFonts w:eastAsia="Calibri" w:cs="Times New Roman"/>
          <w:noProof/>
          <w:kern w:val="0"/>
          <w:lang w:val="en-GB" w:eastAsia="zh-CN"/>
          <w14:ligatures w14:val="none"/>
        </w:rPr>
        <w:t xml:space="preserve"> includ</w:t>
      </w:r>
      <w:r w:rsidR="008706A9">
        <w:rPr>
          <w:rFonts w:eastAsia="Calibri" w:cs="Times New Roman"/>
          <w:noProof/>
          <w:kern w:val="0"/>
          <w:lang w:val="en-GB" w:eastAsia="zh-CN"/>
          <w14:ligatures w14:val="none"/>
        </w:rPr>
        <w:t>e</w:t>
      </w:r>
      <w:r w:rsidRPr="004B6CD8">
        <w:rPr>
          <w:rFonts w:eastAsia="Calibri" w:cs="Times New Roman"/>
          <w:noProof/>
          <w:kern w:val="0"/>
          <w:lang w:val="en-GB" w:eastAsia="zh-CN"/>
          <w14:ligatures w14:val="none"/>
        </w:rPr>
        <w:t xml:space="preserve"> a list of audit engagements for which all</w:t>
      </w:r>
      <w:r w:rsidR="00291216">
        <w:rPr>
          <w:rFonts w:eastAsia="Calibri" w:cs="Times New Roman"/>
          <w:noProof/>
          <w:kern w:val="0"/>
          <w:lang w:val="en-GB" w:eastAsia="zh-CN"/>
          <w14:ligatures w14:val="none"/>
        </w:rPr>
        <w:t xml:space="preserve"> the</w:t>
      </w:r>
      <w:r w:rsidRPr="004B6CD8">
        <w:rPr>
          <w:rFonts w:eastAsia="Calibri" w:cs="Times New Roman"/>
          <w:noProof/>
          <w:kern w:val="0"/>
          <w:lang w:val="en-GB" w:eastAsia="zh-CN"/>
          <w14:ligatures w14:val="none"/>
        </w:rPr>
        <w:t xml:space="preserve"> recommendations were assessed as </w:t>
      </w:r>
      <w:r w:rsidR="00291216">
        <w:rPr>
          <w:rFonts w:eastAsia="Calibri" w:cs="Times New Roman"/>
          <w:noProof/>
          <w:kern w:val="0"/>
          <w:lang w:val="en-GB" w:eastAsia="zh-CN"/>
          <w14:ligatures w14:val="none"/>
        </w:rPr>
        <w:t xml:space="preserve">having been </w:t>
      </w:r>
      <w:r w:rsidRPr="004B6CD8">
        <w:rPr>
          <w:rFonts w:eastAsia="Calibri" w:cs="Times New Roman"/>
          <w:noProof/>
          <w:kern w:val="0"/>
          <w:lang w:val="en-GB" w:eastAsia="zh-CN"/>
          <w14:ligatures w14:val="none"/>
        </w:rPr>
        <w:t>implemented following a follow-up audit by the IAS.</w:t>
      </w:r>
    </w:p>
    <w:p w14:paraId="5BACC09F" w14:textId="6549967A" w:rsidR="0057062A" w:rsidRDefault="05A5B18A" w:rsidP="0057062A">
      <w:pPr>
        <w:jc w:val="both"/>
        <w:rPr>
          <w:rFonts w:eastAsia="Calibri" w:cs="Times New Roman"/>
          <w:noProof/>
          <w:kern w:val="0"/>
          <w:lang w:val="en-GB" w:eastAsia="zh-CN"/>
          <w14:ligatures w14:val="none"/>
        </w:rPr>
      </w:pPr>
      <w:r w:rsidRPr="36D8BD93">
        <w:rPr>
          <w:rStyle w:val="Strong"/>
          <w:noProof/>
        </w:rPr>
        <w:t>Part 3</w:t>
      </w:r>
      <w:r w:rsidRPr="004B6CD8">
        <w:rPr>
          <w:rFonts w:eastAsia="Calibri" w:cs="Times New Roman"/>
          <w:noProof/>
          <w:kern w:val="0"/>
          <w:lang w:val="en-GB" w:eastAsia="zh-CN"/>
          <w14:ligatures w14:val="none"/>
        </w:rPr>
        <w:t xml:space="preserve"> provides an overview of the </w:t>
      </w:r>
      <w:r w:rsidR="5CB0E00F" w:rsidRPr="004B6CD8">
        <w:rPr>
          <w:rFonts w:eastAsia="Calibri" w:cs="Times New Roman"/>
          <w:noProof/>
          <w:kern w:val="0"/>
          <w:lang w:val="en-GB" w:eastAsia="zh-CN"/>
          <w14:ligatures w14:val="none"/>
        </w:rPr>
        <w:t xml:space="preserve">five </w:t>
      </w:r>
      <w:r w:rsidRPr="004B6CD8">
        <w:rPr>
          <w:rFonts w:eastAsia="Calibri" w:cs="Times New Roman"/>
          <w:noProof/>
          <w:kern w:val="0"/>
          <w:lang w:val="en-GB" w:eastAsia="zh-CN"/>
          <w14:ligatures w14:val="none"/>
        </w:rPr>
        <w:t>long overdue very important recommendations</w:t>
      </w:r>
      <w:r w:rsidR="00291216" w:rsidRPr="49AF6030">
        <w:rPr>
          <w:rFonts w:eastAsia="Calibri" w:cs="Times New Roman"/>
          <w:noProof/>
          <w:lang w:val="en-GB" w:eastAsia="zh-CN"/>
        </w:rPr>
        <w:t xml:space="preserve"> on</w:t>
      </w:r>
      <w:r w:rsidRPr="004B6CD8">
        <w:rPr>
          <w:rFonts w:eastAsia="Calibri" w:cs="Times New Roman"/>
          <w:noProof/>
          <w:kern w:val="0"/>
          <w:lang w:val="en-GB" w:eastAsia="zh-CN"/>
          <w14:ligatures w14:val="none"/>
        </w:rPr>
        <w:t xml:space="preserve"> 31 </w:t>
      </w:r>
      <w:r w:rsidR="4E6FEF8C" w:rsidRPr="004B6CD8">
        <w:rPr>
          <w:noProof/>
          <w:lang w:val="en-GB"/>
        </w:rPr>
        <w:t>December</w:t>
      </w:r>
      <w:r w:rsidRPr="004B6CD8">
        <w:rPr>
          <w:rFonts w:eastAsia="Calibri" w:cs="Times New Roman"/>
          <w:noProof/>
          <w:kern w:val="0"/>
          <w:lang w:val="en-GB" w:eastAsia="zh-CN"/>
          <w14:ligatures w14:val="none"/>
        </w:rPr>
        <w:t xml:space="preserve"> 202</w:t>
      </w:r>
      <w:r w:rsidR="000B9BDF" w:rsidRPr="004B6CD8">
        <w:rPr>
          <w:rFonts w:eastAsia="Calibri" w:cs="Times New Roman"/>
          <w:noProof/>
          <w:kern w:val="0"/>
          <w:lang w:val="en-GB" w:eastAsia="zh-CN"/>
          <w14:ligatures w14:val="none"/>
        </w:rPr>
        <w:t>5</w:t>
      </w:r>
      <w:r w:rsidRPr="004B6CD8">
        <w:rPr>
          <w:rFonts w:eastAsia="Calibri" w:cs="Times New Roman"/>
          <w:noProof/>
          <w:kern w:val="0"/>
          <w:lang w:val="en-GB" w:eastAsia="zh-CN"/>
          <w14:ligatures w14:val="none"/>
        </w:rPr>
        <w:t>.</w:t>
      </w:r>
    </w:p>
    <w:p w14:paraId="0D667BD7" w14:textId="77777777" w:rsidR="0057062A" w:rsidRPr="004B6CD8" w:rsidRDefault="0057062A" w:rsidP="0057062A">
      <w:pPr>
        <w:jc w:val="both"/>
        <w:rPr>
          <w:rFonts w:eastAsia="Calibri" w:cs="Times New Roman"/>
          <w:noProof/>
          <w:kern w:val="0"/>
          <w:lang w:val="en-GB" w:eastAsia="zh-CN"/>
          <w14:ligatures w14:val="none"/>
        </w:rPr>
      </w:pPr>
      <w:r w:rsidRPr="004B6CD8">
        <w:rPr>
          <w:rFonts w:eastAsia="Calibri" w:cs="Times New Roman"/>
          <w:noProof/>
          <w:kern w:val="0"/>
          <w:lang w:val="en-GB" w:eastAsia="zh-CN"/>
          <w14:ligatures w14:val="none"/>
        </w:rPr>
        <w:br w:type="page"/>
      </w:r>
    </w:p>
    <w:p w14:paraId="2FA9A60C" w14:textId="77777777" w:rsidR="0057062A" w:rsidRPr="004B6CD8" w:rsidRDefault="0057062A" w:rsidP="0057062A">
      <w:pPr>
        <w:jc w:val="both"/>
        <w:rPr>
          <w:rFonts w:eastAsia="Calibri" w:cs="Times New Roman"/>
          <w:noProof/>
          <w:kern w:val="0"/>
          <w:lang w:val="en-GB" w:eastAsia="zh-CN"/>
          <w14:ligatures w14:val="none"/>
        </w:rPr>
        <w:sectPr w:rsidR="0057062A" w:rsidRPr="004B6CD8" w:rsidSect="0057062A">
          <w:headerReference w:type="even" r:id="rId24"/>
          <w:headerReference w:type="default" r:id="rId25"/>
          <w:footerReference w:type="even" r:id="rId26"/>
          <w:footerReference w:type="default" r:id="rId27"/>
          <w:headerReference w:type="first" r:id="rId28"/>
          <w:footerReference w:type="first" r:id="rId29"/>
          <w:endnotePr>
            <w:pos w:val="sectEnd"/>
            <w:numFmt w:val="lowerLetter"/>
          </w:endnotePr>
          <w:pgSz w:w="11907" w:h="16839" w:code="9"/>
          <w:pgMar w:top="1247" w:right="1417" w:bottom="1247" w:left="1417" w:header="680" w:footer="566" w:gutter="0"/>
          <w:cols w:space="720"/>
          <w:docGrid w:linePitch="272"/>
        </w:sectPr>
      </w:pPr>
    </w:p>
    <w:p w14:paraId="1A53E404" w14:textId="77777777" w:rsidR="0057062A" w:rsidRPr="004B6CD8" w:rsidRDefault="0057062A" w:rsidP="0057062A">
      <w:pPr>
        <w:rPr>
          <w:rFonts w:eastAsia="Calibri" w:cs="Times New Roman"/>
          <w:noProof/>
          <w:kern w:val="0"/>
          <w:lang w:val="en-GB" w:eastAsia="zh-CN"/>
          <w14:ligatures w14:val="none"/>
        </w:rPr>
      </w:pPr>
    </w:p>
    <w:p w14:paraId="1F5F3623" w14:textId="77777777" w:rsidR="0057062A" w:rsidRPr="004B6CD8" w:rsidRDefault="0057062A" w:rsidP="0057062A">
      <w:pPr>
        <w:rPr>
          <w:rFonts w:eastAsia="Calibri" w:cs="Times New Roman"/>
          <w:noProof/>
          <w:kern w:val="0"/>
          <w:lang w:val="en-GB" w:eastAsia="zh-CN"/>
          <w14:ligatures w14:val="none"/>
        </w:rPr>
      </w:pPr>
    </w:p>
    <w:p w14:paraId="22AC9789" w14:textId="77777777" w:rsidR="0057062A" w:rsidRPr="004B6CD8" w:rsidRDefault="0057062A" w:rsidP="0057062A">
      <w:pPr>
        <w:rPr>
          <w:rFonts w:eastAsia="Calibri" w:cs="Times New Roman"/>
          <w:noProof/>
          <w:kern w:val="0"/>
          <w:lang w:val="en-GB" w:eastAsia="zh-CN"/>
          <w14:ligatures w14:val="none"/>
        </w:rPr>
      </w:pPr>
    </w:p>
    <w:p w14:paraId="523E2CCC" w14:textId="77777777" w:rsidR="0057062A" w:rsidRPr="004B6CD8" w:rsidRDefault="0057062A" w:rsidP="0057062A">
      <w:pPr>
        <w:rPr>
          <w:rFonts w:eastAsia="Calibri" w:cs="Times New Roman"/>
          <w:noProof/>
          <w:kern w:val="0"/>
          <w:lang w:val="en-GB" w:eastAsia="zh-CN"/>
          <w14:ligatures w14:val="none"/>
        </w:rPr>
      </w:pPr>
    </w:p>
    <w:p w14:paraId="364979A2" w14:textId="77777777" w:rsidR="0057062A" w:rsidRPr="004B6CD8" w:rsidRDefault="0057062A" w:rsidP="0057062A">
      <w:pPr>
        <w:rPr>
          <w:rFonts w:eastAsia="Calibri" w:cs="Times New Roman"/>
          <w:noProof/>
          <w:kern w:val="0"/>
          <w:lang w:val="en-GB" w:eastAsia="zh-CN"/>
          <w14:ligatures w14:val="none"/>
        </w:rPr>
      </w:pPr>
    </w:p>
    <w:p w14:paraId="3BCC086E" w14:textId="77777777" w:rsidR="0057062A" w:rsidRPr="004B6CD8" w:rsidRDefault="0057062A" w:rsidP="0057062A">
      <w:pPr>
        <w:rPr>
          <w:rFonts w:eastAsia="Calibri" w:cs="Times New Roman"/>
          <w:noProof/>
          <w:kern w:val="0"/>
          <w:lang w:val="en-GB" w:eastAsia="zh-CN"/>
          <w14:ligatures w14:val="none"/>
        </w:rPr>
      </w:pPr>
    </w:p>
    <w:p w14:paraId="1D6C2FDE" w14:textId="77777777" w:rsidR="0057062A" w:rsidRPr="004B6CD8" w:rsidRDefault="0057062A" w:rsidP="0057062A">
      <w:pPr>
        <w:rPr>
          <w:rFonts w:eastAsia="Calibri" w:cs="Times New Roman"/>
          <w:noProof/>
          <w:kern w:val="0"/>
          <w:lang w:val="en-GB" w:eastAsia="zh-CN"/>
          <w14:ligatures w14:val="none"/>
        </w:rPr>
      </w:pPr>
    </w:p>
    <w:p w14:paraId="5A750B33" w14:textId="77777777" w:rsidR="0057062A" w:rsidRPr="004B6CD8" w:rsidRDefault="0057062A" w:rsidP="0057062A">
      <w:pPr>
        <w:rPr>
          <w:rFonts w:eastAsia="Calibri" w:cs="Times New Roman"/>
          <w:noProof/>
          <w:kern w:val="0"/>
          <w:lang w:val="en-GB" w:eastAsia="zh-CN"/>
          <w14:ligatures w14:val="none"/>
        </w:rPr>
      </w:pPr>
    </w:p>
    <w:p w14:paraId="573B7C2B" w14:textId="77777777" w:rsidR="0057062A" w:rsidRPr="004B6CD8" w:rsidRDefault="0057062A" w:rsidP="0057062A">
      <w:pPr>
        <w:rPr>
          <w:rFonts w:eastAsia="Calibri" w:cs="Times New Roman"/>
          <w:noProof/>
          <w:kern w:val="0"/>
          <w:lang w:val="en-GB" w:eastAsia="zh-CN"/>
          <w14:ligatures w14:val="none"/>
        </w:rPr>
      </w:pPr>
    </w:p>
    <w:p w14:paraId="201752E4" w14:textId="77777777" w:rsidR="0057062A" w:rsidRPr="004B6CD8" w:rsidRDefault="0057062A" w:rsidP="0057062A">
      <w:pPr>
        <w:rPr>
          <w:rFonts w:eastAsia="Calibri" w:cs="Times New Roman"/>
          <w:noProof/>
          <w:kern w:val="0"/>
          <w:lang w:val="en-GB" w:eastAsia="zh-CN"/>
          <w14:ligatures w14:val="none"/>
        </w:rPr>
      </w:pPr>
    </w:p>
    <w:p w14:paraId="39D3C36E" w14:textId="77777777" w:rsidR="0057062A" w:rsidRPr="004B6CD8" w:rsidRDefault="0057062A" w:rsidP="0057062A">
      <w:pPr>
        <w:rPr>
          <w:rFonts w:eastAsia="Calibri" w:cs="Times New Roman"/>
          <w:noProof/>
          <w:kern w:val="0"/>
          <w:lang w:val="en-GB" w:eastAsia="zh-CN"/>
          <w14:ligatures w14:val="none"/>
        </w:rPr>
      </w:pPr>
    </w:p>
    <w:p w14:paraId="0BFD1B32" w14:textId="77777777" w:rsidR="0057062A" w:rsidRPr="004B6CD8" w:rsidRDefault="0057062A" w:rsidP="0057062A">
      <w:pPr>
        <w:rPr>
          <w:rFonts w:eastAsia="Calibri" w:cs="Times New Roman"/>
          <w:noProof/>
          <w:kern w:val="0"/>
          <w:lang w:val="en-GB" w:eastAsia="zh-CN"/>
          <w14:ligatures w14:val="none"/>
        </w:rPr>
      </w:pPr>
    </w:p>
    <w:p w14:paraId="0809048A" w14:textId="77777777" w:rsidR="0057062A" w:rsidRPr="004B6CD8" w:rsidRDefault="0057062A" w:rsidP="0057062A">
      <w:pPr>
        <w:rPr>
          <w:rFonts w:eastAsia="Calibri" w:cs="Times New Roman"/>
          <w:noProof/>
          <w:kern w:val="0"/>
          <w:lang w:val="en-GB" w:eastAsia="zh-CN"/>
          <w14:ligatures w14:val="none"/>
        </w:rPr>
      </w:pPr>
    </w:p>
    <w:p w14:paraId="5CFFDE86" w14:textId="77777777" w:rsidR="0057062A" w:rsidRPr="004B6CD8" w:rsidRDefault="0057062A" w:rsidP="0057062A">
      <w:pPr>
        <w:rPr>
          <w:rFonts w:eastAsia="Calibri" w:cs="Times New Roman"/>
          <w:noProof/>
          <w:kern w:val="0"/>
          <w:lang w:val="en-GB" w:eastAsia="zh-CN"/>
          <w14:ligatures w14:val="none"/>
        </w:rPr>
      </w:pPr>
    </w:p>
    <w:p w14:paraId="5F08A3F4" w14:textId="77777777" w:rsidR="0057062A" w:rsidRPr="004B6CD8" w:rsidRDefault="0057062A" w:rsidP="0057062A">
      <w:pPr>
        <w:rPr>
          <w:rFonts w:eastAsia="Calibri" w:cs="Times New Roman"/>
          <w:noProof/>
          <w:kern w:val="0"/>
          <w:lang w:val="en-GB" w:eastAsia="zh-CN"/>
          <w14:ligatures w14:val="none"/>
        </w:rPr>
      </w:pPr>
    </w:p>
    <w:p w14:paraId="6986A958" w14:textId="77777777" w:rsidR="0057062A" w:rsidRPr="004B6CD8" w:rsidRDefault="0057062A" w:rsidP="0057062A">
      <w:pPr>
        <w:rPr>
          <w:rFonts w:eastAsia="Calibri" w:cs="Times New Roman"/>
          <w:noProof/>
          <w:kern w:val="0"/>
          <w:lang w:val="en-GB" w:eastAsia="zh-CN"/>
          <w14:ligatures w14:val="none"/>
        </w:rPr>
      </w:pPr>
    </w:p>
    <w:p w14:paraId="482F2DE1" w14:textId="77777777" w:rsidR="0057062A" w:rsidRPr="004B6CD8" w:rsidRDefault="0057062A" w:rsidP="00571736">
      <w:pPr>
        <w:spacing w:after="0" w:line="264" w:lineRule="auto"/>
        <w:rPr>
          <w:rFonts w:eastAsia="Times New Roman" w:cs="Times New Roman"/>
          <w:noProof/>
          <w:color w:val="245F95"/>
          <w:kern w:val="0"/>
          <w:sz w:val="56"/>
          <w:szCs w:val="20"/>
          <w:lang w:val="en-GB" w:eastAsia="zh-CN"/>
          <w14:ligatures w14:val="none"/>
        </w:rPr>
      </w:pPr>
      <w:bookmarkStart w:id="11" w:name="_Toc134804254"/>
    </w:p>
    <w:p w14:paraId="54FFFD29" w14:textId="77777777" w:rsidR="0057062A" w:rsidRPr="004B6CD8" w:rsidRDefault="0057062A" w:rsidP="0057062A">
      <w:pPr>
        <w:spacing w:after="0" w:line="264" w:lineRule="auto"/>
        <w:rPr>
          <w:rFonts w:eastAsia="Times New Roman" w:cs="Times New Roman"/>
          <w:noProof/>
          <w:color w:val="245F95"/>
          <w:kern w:val="0"/>
          <w:sz w:val="40"/>
          <w:szCs w:val="12"/>
          <w:lang w:val="en-GB" w:eastAsia="zh-CN"/>
          <w14:ligatures w14:val="none"/>
        </w:rPr>
      </w:pPr>
    </w:p>
    <w:p w14:paraId="7B9FE15D" w14:textId="111CF748" w:rsidR="0057062A" w:rsidRPr="00C76AA9" w:rsidRDefault="005A6430" w:rsidP="00C76AA9">
      <w:pPr>
        <w:pStyle w:val="amprH1Sectiontitle"/>
        <w:rPr>
          <w:noProof/>
        </w:rPr>
        <w:sectPr w:rsidR="0057062A" w:rsidRPr="00C76AA9" w:rsidSect="0057062A">
          <w:headerReference w:type="even" r:id="rId30"/>
          <w:headerReference w:type="default" r:id="rId31"/>
          <w:footerReference w:type="even" r:id="rId32"/>
          <w:footerReference w:type="default" r:id="rId33"/>
          <w:headerReference w:type="first" r:id="rId34"/>
          <w:footerReference w:type="first" r:id="rId35"/>
          <w:endnotePr>
            <w:pos w:val="sectEnd"/>
            <w:numFmt w:val="lowerLetter"/>
          </w:endnotePr>
          <w:pgSz w:w="11907" w:h="16839" w:code="9"/>
          <w:pgMar w:top="1247" w:right="1417" w:bottom="1247" w:left="1417" w:header="680" w:footer="566" w:gutter="0"/>
          <w:cols w:space="720"/>
          <w:docGrid w:linePitch="272"/>
        </w:sectPr>
      </w:pPr>
      <w:bookmarkStart w:id="12" w:name="_Toc231235419"/>
      <w:bookmarkEnd w:id="11"/>
      <w:r w:rsidRPr="00C76AA9">
        <w:rPr>
          <w:noProof/>
        </w:rPr>
        <w:t>Part 1</w:t>
      </w:r>
      <w:r w:rsidR="00883D7A" w:rsidRPr="004B6CD8">
        <w:rPr>
          <w:noProof/>
        </w:rPr>
        <w:br/>
      </w:r>
      <w:r w:rsidRPr="00C76AA9">
        <w:rPr>
          <w:noProof/>
        </w:rPr>
        <w:t>Final reports</w:t>
      </w:r>
      <w:bookmarkEnd w:id="12"/>
    </w:p>
    <w:p w14:paraId="639CCA18" w14:textId="5FC2ED42" w:rsidR="007801CB" w:rsidRPr="004B6CD8" w:rsidRDefault="00A9455A" w:rsidP="00762169">
      <w:pPr>
        <w:pStyle w:val="amprH2Title1"/>
        <w:rPr>
          <w:noProof/>
        </w:rPr>
      </w:pPr>
      <w:bookmarkStart w:id="13" w:name="_Toc231235420"/>
      <w:bookmarkStart w:id="14" w:name="_Hlk165200752"/>
      <w:bookmarkStart w:id="15" w:name="_Toc134793983"/>
      <w:bookmarkStart w:id="16" w:name="_Toc134804256"/>
      <w:bookmarkStart w:id="17" w:name="_Toc131535729"/>
      <w:bookmarkStart w:id="18" w:name="_Hlk128469011"/>
      <w:bookmarkStart w:id="19" w:name="_Toc134793984"/>
      <w:bookmarkStart w:id="20" w:name="_Toc134804257"/>
      <w:bookmarkStart w:id="21" w:name="_Toc196835180"/>
      <w:r w:rsidRPr="004B6CD8">
        <w:rPr>
          <w:noProof/>
        </w:rPr>
        <w:t xml:space="preserve">Financial </w:t>
      </w:r>
      <w:r w:rsidR="002E79CD" w:rsidRPr="004B6CD8">
        <w:rPr>
          <w:noProof/>
        </w:rPr>
        <w:t>Processes</w:t>
      </w:r>
      <w:bookmarkEnd w:id="13"/>
    </w:p>
    <w:p w14:paraId="4499592C" w14:textId="293B0809" w:rsidR="00230710" w:rsidRPr="004B6CD8" w:rsidRDefault="00230710" w:rsidP="00D74BE0">
      <w:pPr>
        <w:pStyle w:val="amprH3Title2-Numbered-11"/>
        <w:numPr>
          <w:ilvl w:val="1"/>
          <w:numId w:val="51"/>
        </w:numPr>
        <w:rPr>
          <w:noProof/>
        </w:rPr>
      </w:pPr>
      <w:bookmarkStart w:id="22" w:name="_Toc231235421"/>
      <w:bookmarkEnd w:id="14"/>
      <w:bookmarkEnd w:id="15"/>
      <w:bookmarkEnd w:id="16"/>
      <w:bookmarkEnd w:id="17"/>
      <w:bookmarkEnd w:id="18"/>
      <w:r w:rsidRPr="004B6CD8">
        <w:rPr>
          <w:noProof/>
        </w:rPr>
        <w:t>Procurement (DGT)</w:t>
      </w:r>
      <w:bookmarkEnd w:id="22"/>
    </w:p>
    <w:p w14:paraId="61F3EECA" w14:textId="4E0A2E96" w:rsidR="00230710" w:rsidRPr="004B6CD8" w:rsidRDefault="00230710" w:rsidP="00230710">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objective of the audit was to assess if the governance, risk management and internal control framework set-up by DGT for its procurement activities </w:t>
      </w:r>
      <w:r w:rsidR="003B66FA">
        <w:rPr>
          <w:rFonts w:eastAsia="Calibri" w:cs="Times New Roman"/>
          <w:noProof/>
          <w:kern w:val="0"/>
          <w:lang w:val="en-GB"/>
          <w14:ligatures w14:val="none"/>
        </w:rPr>
        <w:t>was</w:t>
      </w:r>
      <w:r w:rsidRPr="004B6CD8">
        <w:rPr>
          <w:rFonts w:eastAsia="Calibri" w:cs="Times New Roman"/>
          <w:noProof/>
          <w:kern w:val="0"/>
          <w:lang w:val="en-GB"/>
          <w14:ligatures w14:val="none"/>
        </w:rPr>
        <w:t xml:space="preserve"> adequately designed, efficient and effective and </w:t>
      </w:r>
      <w:r w:rsidR="00B50AD2">
        <w:rPr>
          <w:rFonts w:eastAsia="Calibri" w:cs="Times New Roman"/>
          <w:noProof/>
          <w:kern w:val="0"/>
          <w:lang w:val="en-GB"/>
          <w14:ligatures w14:val="none"/>
        </w:rPr>
        <w:t xml:space="preserve">to </w:t>
      </w:r>
      <w:r w:rsidRPr="004B6CD8">
        <w:rPr>
          <w:rFonts w:eastAsia="Calibri" w:cs="Times New Roman"/>
          <w:noProof/>
          <w:kern w:val="0"/>
          <w:lang w:val="en-GB"/>
          <w14:ligatures w14:val="none"/>
        </w:rPr>
        <w:t xml:space="preserve">provide reasonable assurance that the key internal control objectives </w:t>
      </w:r>
      <w:r w:rsidR="00B50AD2">
        <w:rPr>
          <w:rFonts w:eastAsia="Calibri" w:cs="Times New Roman"/>
          <w:noProof/>
          <w:kern w:val="0"/>
          <w:lang w:val="en-GB"/>
          <w14:ligatures w14:val="none"/>
        </w:rPr>
        <w:t>ha</w:t>
      </w:r>
      <w:r w:rsidR="006A49B5">
        <w:rPr>
          <w:rFonts w:eastAsia="Calibri" w:cs="Times New Roman"/>
          <w:noProof/>
          <w:kern w:val="0"/>
          <w:lang w:val="en-GB"/>
          <w14:ligatures w14:val="none"/>
        </w:rPr>
        <w:t>ve</w:t>
      </w:r>
      <w:r w:rsidR="00B50AD2">
        <w:rPr>
          <w:rFonts w:eastAsia="Calibri" w:cs="Times New Roman"/>
          <w:noProof/>
          <w:kern w:val="0"/>
          <w:lang w:val="en-GB"/>
          <w14:ligatures w14:val="none"/>
        </w:rPr>
        <w:t xml:space="preserve"> been</w:t>
      </w:r>
      <w:r w:rsidRPr="004B6CD8">
        <w:rPr>
          <w:rFonts w:eastAsia="Calibri" w:cs="Times New Roman"/>
          <w:noProof/>
          <w:kern w:val="0"/>
          <w:lang w:val="en-GB"/>
          <w14:ligatures w14:val="none"/>
        </w:rPr>
        <w:t xml:space="preserve"> achieved.</w:t>
      </w:r>
    </w:p>
    <w:p w14:paraId="7A6B93E4" w14:textId="6D293C1C" w:rsidR="00230710" w:rsidRPr="004B6CD8" w:rsidRDefault="00230710" w:rsidP="00E70ECE">
      <w:pPr>
        <w:spacing w:after="120"/>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14D54D0A" w14:textId="65FB2300" w:rsidR="00230710" w:rsidRPr="004B6CD8" w:rsidRDefault="00230710" w:rsidP="00E70ECE">
      <w:pPr>
        <w:spacing w:after="120"/>
        <w:jc w:val="both"/>
        <w:rPr>
          <w:rFonts w:cs="Times New Roman"/>
          <w:i/>
          <w:iCs/>
          <w:noProof/>
          <w:color w:val="003399" w:themeColor="text2"/>
          <w:lang w:val="en-GB"/>
        </w:rPr>
      </w:pPr>
      <w:r w:rsidRPr="004B6CD8">
        <w:rPr>
          <w:rFonts w:cs="Times New Roman"/>
          <w:i/>
          <w:iCs/>
          <w:noProof/>
          <w:color w:val="003399" w:themeColor="text2"/>
          <w:lang w:val="en-GB"/>
        </w:rPr>
        <w:t>Is the governance framework for procurement activities adequately designed and efficiently and effectively implemented?</w:t>
      </w:r>
    </w:p>
    <w:p w14:paraId="194CFD21" w14:textId="77AA0E60" w:rsidR="00230710" w:rsidRPr="004B6CD8" w:rsidRDefault="004F43F7" w:rsidP="00230710">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governance framework established by DGT for procurement activities is adequately designed, efficiently and effectively implemented. The organisational structure in DGT to deal with procurement activities is adequate, the roles and responsibilities of the various actors involved are clearly defined, including the required competencies and the ethical aspects to consider. The evaluation panels are appointed in accordance with the Financial Regulation and the </w:t>
      </w:r>
      <w:r w:rsidR="00B50AD2">
        <w:rPr>
          <w:rFonts w:eastAsia="Calibri" w:cs="Times New Roman"/>
          <w:noProof/>
          <w:kern w:val="0"/>
          <w:lang w:val="en-GB"/>
          <w14:ligatures w14:val="none"/>
        </w:rPr>
        <w:t>V</w:t>
      </w:r>
      <w:r w:rsidRPr="004B6CD8">
        <w:rPr>
          <w:rFonts w:eastAsia="Calibri" w:cs="Times New Roman"/>
          <w:noProof/>
          <w:kern w:val="0"/>
          <w:lang w:val="en-GB"/>
          <w14:ligatures w14:val="none"/>
        </w:rPr>
        <w:t>ademecum.</w:t>
      </w:r>
    </w:p>
    <w:p w14:paraId="2A673211" w14:textId="77777777" w:rsidR="004F43F7" w:rsidRPr="004B6CD8" w:rsidRDefault="004F43F7" w:rsidP="004F43F7">
      <w:pPr>
        <w:jc w:val="both"/>
        <w:rPr>
          <w:rFonts w:cs="Times New Roman"/>
          <w:i/>
          <w:iCs/>
          <w:noProof/>
          <w:color w:val="003399" w:themeColor="text2"/>
          <w:lang w:val="en-GB"/>
        </w:rPr>
      </w:pPr>
      <w:r w:rsidRPr="004B6CD8">
        <w:rPr>
          <w:rFonts w:cs="Times New Roman"/>
          <w:i/>
          <w:iCs/>
          <w:noProof/>
          <w:color w:val="003399" w:themeColor="text2"/>
          <w:lang w:val="en-GB"/>
        </w:rPr>
        <w:t>Is the risk management framework for procurement activities adequately designed and effectively implemented?</w:t>
      </w:r>
    </w:p>
    <w:p w14:paraId="53F87CAF" w14:textId="22BDFC10" w:rsidR="004F43F7" w:rsidRPr="004B6CD8" w:rsidRDefault="004F43F7" w:rsidP="004F43F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risk management framework for procurement activities is overall adequately designed. DGT identified the risks related to the procurement processes and defined control activities to mitigate them. However, the implementation of the risk management framework is only partially effective as the IAS found some issues on the internal control framework (see below) for which the control activities defined by DGT were not </w:t>
      </w:r>
      <w:r w:rsidR="006454A6">
        <w:rPr>
          <w:rFonts w:eastAsia="Calibri" w:cs="Times New Roman"/>
          <w:noProof/>
          <w:kern w:val="0"/>
          <w:lang w:val="en-GB"/>
          <w14:ligatures w14:val="none"/>
        </w:rPr>
        <w:t xml:space="preserve">fully </w:t>
      </w:r>
      <w:r w:rsidRPr="004B6CD8">
        <w:rPr>
          <w:rFonts w:eastAsia="Calibri" w:cs="Times New Roman"/>
          <w:noProof/>
          <w:kern w:val="0"/>
          <w:lang w:val="en-GB"/>
          <w14:ligatures w14:val="none"/>
        </w:rPr>
        <w:t>effective to address the</w:t>
      </w:r>
      <w:r w:rsidR="00875DA2" w:rsidRPr="004B6CD8">
        <w:rPr>
          <w:rFonts w:eastAsia="Calibri" w:cs="Times New Roman"/>
          <w:noProof/>
          <w:kern w:val="0"/>
          <w:lang w:val="en-GB"/>
          <w14:ligatures w14:val="none"/>
        </w:rPr>
        <w:t>m</w:t>
      </w:r>
      <w:r w:rsidRPr="004B6CD8">
        <w:rPr>
          <w:rFonts w:eastAsia="Calibri" w:cs="Times New Roman"/>
          <w:noProof/>
          <w:kern w:val="0"/>
          <w:lang w:val="en-GB"/>
          <w14:ligatures w14:val="none"/>
        </w:rPr>
        <w:t>.</w:t>
      </w:r>
    </w:p>
    <w:p w14:paraId="30EF417B" w14:textId="7ED41C7D" w:rsidR="00230710" w:rsidRPr="004B6CD8" w:rsidRDefault="004F43F7" w:rsidP="004F43F7">
      <w:pPr>
        <w:jc w:val="both"/>
        <w:rPr>
          <w:rFonts w:cs="Times New Roman"/>
          <w:i/>
          <w:iCs/>
          <w:noProof/>
          <w:color w:val="003399" w:themeColor="text2"/>
          <w:lang w:val="en-GB"/>
        </w:rPr>
      </w:pPr>
      <w:r w:rsidRPr="004B6CD8">
        <w:rPr>
          <w:rFonts w:cs="Times New Roman"/>
          <w:i/>
          <w:iCs/>
          <w:noProof/>
          <w:color w:val="003399" w:themeColor="text2"/>
          <w:lang w:val="en-GB"/>
        </w:rPr>
        <w:t>Is the internal control framework for procurement activities adequately designed, efficiently and effectively implemented?</w:t>
      </w:r>
    </w:p>
    <w:p w14:paraId="279ABC23" w14:textId="75EDAB13" w:rsidR="00230710" w:rsidRPr="004B6CD8" w:rsidRDefault="00E70ECE" w:rsidP="00230710">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internal control framework for procurement activities is overall adequately designed. This covers the budgetary and legal commitments, the identification of needs, the planning of the procurement procedures, the tendering and evaluation phases and the preparation and adoption of the award decision. The procurement process follows overall the requirements of the Financial Regulation and </w:t>
      </w:r>
      <w:r w:rsidR="00B50AD2">
        <w:rPr>
          <w:rFonts w:eastAsia="Calibri" w:cs="Times New Roman"/>
          <w:noProof/>
          <w:kern w:val="0"/>
          <w:lang w:val="en-GB"/>
          <w14:ligatures w14:val="none"/>
        </w:rPr>
        <w:t>V</w:t>
      </w:r>
      <w:r w:rsidRPr="004B6CD8">
        <w:rPr>
          <w:rFonts w:eastAsia="Calibri" w:cs="Times New Roman"/>
          <w:noProof/>
          <w:kern w:val="0"/>
          <w:lang w:val="en-GB"/>
          <w14:ligatures w14:val="none"/>
        </w:rPr>
        <w:t xml:space="preserve">ademecum. However, the IAS found several issues regarding the effectiveness and efficiency of the internal control framework. In particular, the auditors identified issues regarding: (a) DGT’s interpretation and implementation of the legal base/guidance applicable to procurement for outsourced translation (e.g. the concept of ‘subject matter’ and the estimation of the initial value for a framework contract); (b) the (documentation of) controls/procedures in the pre-tendering and tendering phases (e.g. </w:t>
      </w:r>
      <w:r w:rsidR="006454A6" w:rsidRPr="006454A6">
        <w:rPr>
          <w:rFonts w:eastAsia="Calibri" w:cs="Times New Roman"/>
          <w:noProof/>
          <w:kern w:val="0"/>
          <w:lang w:val="en-GB"/>
          <w14:ligatures w14:val="none"/>
        </w:rPr>
        <w:t xml:space="preserve">completeness of information in </w:t>
      </w:r>
      <w:r w:rsidRPr="004B6CD8">
        <w:rPr>
          <w:rFonts w:eastAsia="Calibri" w:cs="Times New Roman"/>
          <w:noProof/>
          <w:kern w:val="0"/>
          <w:lang w:val="en-GB"/>
          <w14:ligatures w14:val="none"/>
        </w:rPr>
        <w:t xml:space="preserve">some award decisions); and (c) the monitoring and reporting processes (e.g. no </w:t>
      </w:r>
      <w:r w:rsidR="006454A6" w:rsidRPr="006454A6">
        <w:rPr>
          <w:rFonts w:eastAsia="Calibri" w:cs="Times New Roman"/>
          <w:noProof/>
          <w:kern w:val="0"/>
          <w:lang w:val="en-GB"/>
          <w14:ligatures w14:val="none"/>
        </w:rPr>
        <w:t xml:space="preserve">formalised </w:t>
      </w:r>
      <w:r w:rsidRPr="004B6CD8">
        <w:rPr>
          <w:rFonts w:eastAsia="Calibri" w:cs="Times New Roman"/>
          <w:noProof/>
          <w:kern w:val="0"/>
          <w:lang w:val="en-GB"/>
          <w14:ligatures w14:val="none"/>
        </w:rPr>
        <w:t>monitoring of budget consumption for an inter-institutional framework contract).</w:t>
      </w:r>
    </w:p>
    <w:p w14:paraId="05E95E53" w14:textId="40E761CF" w:rsidR="00E70ECE" w:rsidRPr="004B6CD8" w:rsidRDefault="00E70ECE" w:rsidP="00230710">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3EFCB874" w14:textId="17546290" w:rsidR="00E70ECE" w:rsidRPr="004B6CD8" w:rsidRDefault="00E70ECE" w:rsidP="00230710">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although DGT has, overall, designed an adequate governance, risk management and internal control framework for its procurement activities, there remains a very important issue concerning its effectiveness and efficiency, particularly as regards the procurement approach for outsourced translation.</w:t>
      </w:r>
    </w:p>
    <w:p w14:paraId="4C8C8879" w14:textId="2A00417F" w:rsidR="00E70ECE" w:rsidRPr="004B6CD8" w:rsidRDefault="00862A73" w:rsidP="00C11F37">
      <w:pPr>
        <w:spacing w:after="160"/>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w:t>
      </w:r>
      <w:r w:rsidR="00E70ECE" w:rsidRPr="004B6CD8">
        <w:rPr>
          <w:rFonts w:cs="Times New Roman"/>
          <w:b/>
          <w:bCs/>
          <w:noProof/>
          <w:color w:val="003399" w:themeColor="text2"/>
          <w:u w:val="single"/>
          <w:lang w:val="en-GB"/>
        </w:rPr>
        <w:t xml:space="preserve"> </w:t>
      </w:r>
      <w:r w:rsidR="00B66185" w:rsidRPr="004B6CD8">
        <w:rPr>
          <w:rFonts w:cs="Times New Roman"/>
          <w:b/>
          <w:bCs/>
          <w:noProof/>
          <w:color w:val="003399" w:themeColor="text2"/>
          <w:u w:val="single"/>
          <w:lang w:val="en-GB"/>
        </w:rPr>
        <w:t>r</w:t>
      </w:r>
      <w:r w:rsidR="00E70ECE" w:rsidRPr="004B6CD8">
        <w:rPr>
          <w:rFonts w:cs="Times New Roman"/>
          <w:b/>
          <w:bCs/>
          <w:noProof/>
          <w:color w:val="003399" w:themeColor="text2"/>
          <w:u w:val="single"/>
          <w:lang w:val="en-GB"/>
        </w:rPr>
        <w:t>ecommendation</w:t>
      </w:r>
      <w:r w:rsidR="00011F5C">
        <w:rPr>
          <w:rFonts w:cs="Times New Roman"/>
          <w:b/>
          <w:bCs/>
          <w:noProof/>
          <w:color w:val="003399" w:themeColor="text2"/>
          <w:u w:val="single"/>
          <w:lang w:val="en-GB"/>
        </w:rPr>
        <w:t>s</w:t>
      </w:r>
    </w:p>
    <w:p w14:paraId="10BC96CD" w14:textId="66DD5EFB" w:rsidR="00915A2D" w:rsidRDefault="00E70ECE" w:rsidP="00C11F37">
      <w:pPr>
        <w:spacing w:before="160"/>
        <w:jc w:val="both"/>
        <w:rPr>
          <w:rFonts w:eastAsia="Calibri" w:cs="Times New Roman"/>
          <w:b/>
          <w:bCs/>
          <w:noProof/>
          <w:color w:val="003399" w:themeColor="text2"/>
          <w:kern w:val="0"/>
          <w:lang w:val="en-GB"/>
          <w14:ligatures w14:val="none"/>
        </w:rPr>
      </w:pPr>
      <w:r w:rsidRPr="004B6CD8">
        <w:rPr>
          <w:rFonts w:eastAsia="Calibri" w:cs="Times New Roman"/>
          <w:noProof/>
          <w:kern w:val="0"/>
          <w:lang w:val="en-GB"/>
          <w14:ligatures w14:val="none"/>
        </w:rPr>
        <w:t>Recommendation No 1</w:t>
      </w:r>
      <w:r w:rsidR="00915A2D">
        <w:rPr>
          <w:rFonts w:eastAsia="Calibri" w:cs="Times New Roman"/>
          <w:noProof/>
          <w:kern w:val="0"/>
          <w:lang w:val="en-GB"/>
          <w14:ligatures w14:val="none"/>
        </w:rPr>
        <w:t xml:space="preserve">, on the </w:t>
      </w:r>
      <w:r w:rsidR="00915A2D" w:rsidRPr="008A53FC">
        <w:rPr>
          <w:rFonts w:eastAsia="Calibri" w:cs="Times New Roman"/>
          <w:b/>
          <w:bCs/>
          <w:noProof/>
          <w:color w:val="003399" w:themeColor="text2"/>
          <w:kern w:val="0"/>
          <w:lang w:val="en-GB"/>
          <w14:ligatures w14:val="none"/>
        </w:rPr>
        <w:t>procurement approach for outsourced translation,</w:t>
      </w:r>
      <w:r w:rsidR="00B7161F" w:rsidRPr="008A53FC">
        <w:rPr>
          <w:rFonts w:eastAsia="Calibri" w:cs="Times New Roman"/>
          <w:b/>
          <w:bCs/>
          <w:noProof/>
          <w:color w:val="003399" w:themeColor="text2"/>
          <w:kern w:val="0"/>
          <w:lang w:val="en-GB"/>
          <w14:ligatures w14:val="none"/>
        </w:rPr>
        <w:t xml:space="preserve"> </w:t>
      </w:r>
      <w:r w:rsidRPr="004B6CD8">
        <w:rPr>
          <w:rFonts w:eastAsia="Calibri" w:cs="Times New Roman"/>
          <w:b/>
          <w:bCs/>
          <w:noProof/>
          <w:color w:val="003399" w:themeColor="text2"/>
          <w:kern w:val="0"/>
          <w:lang w:val="en-GB"/>
          <w14:ligatures w14:val="none"/>
        </w:rPr>
        <w:t xml:space="preserve">DG </w:t>
      </w:r>
      <w:r w:rsidR="00B7161F" w:rsidRPr="004B6CD8">
        <w:rPr>
          <w:rFonts w:eastAsia="Calibri" w:cs="Times New Roman"/>
          <w:b/>
          <w:bCs/>
          <w:noProof/>
          <w:color w:val="003399" w:themeColor="text2"/>
          <w:kern w:val="0"/>
          <w:lang w:val="en-GB"/>
          <w14:ligatures w14:val="none"/>
        </w:rPr>
        <w:t xml:space="preserve">DGT </w:t>
      </w:r>
      <w:r w:rsidRPr="008A53FC">
        <w:rPr>
          <w:rFonts w:eastAsia="Calibri" w:cs="Times New Roman"/>
          <w:noProof/>
          <w:kern w:val="0"/>
          <w:lang w:val="en-GB"/>
          <w14:ligatures w14:val="none"/>
        </w:rPr>
        <w:t>should</w:t>
      </w:r>
      <w:r w:rsidR="00915A2D">
        <w:rPr>
          <w:rFonts w:eastAsia="Calibri" w:cs="Times New Roman"/>
          <w:b/>
          <w:bCs/>
          <w:noProof/>
          <w:color w:val="003399" w:themeColor="text2"/>
          <w:kern w:val="0"/>
          <w:lang w:val="en-GB"/>
          <w14:ligatures w14:val="none"/>
        </w:rPr>
        <w:t>:</w:t>
      </w:r>
    </w:p>
    <w:p w14:paraId="75265C6D" w14:textId="5591A5B7" w:rsidR="00E70ECE" w:rsidRPr="004B6CD8" w:rsidRDefault="00E70ECE" w:rsidP="0003593D">
      <w:pPr>
        <w:pStyle w:val="amprLISTtealbullets-L1"/>
        <w:spacing w:after="240"/>
        <w:ind w:left="782" w:hanging="357"/>
        <w:rPr>
          <w:rFonts w:eastAsia="Calibri"/>
          <w:noProof/>
        </w:rPr>
      </w:pPr>
      <w:r w:rsidRPr="004B6CD8">
        <w:rPr>
          <w:rFonts w:eastAsia="Calibri"/>
          <w:noProof/>
        </w:rPr>
        <w:t>define a procurement approach for outsourced translation.</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E70ECE" w:rsidRPr="00FB5A04" w14:paraId="62BDB8C5" w14:textId="77777777">
        <w:tc>
          <w:tcPr>
            <w:tcW w:w="9043" w:type="dxa"/>
          </w:tcPr>
          <w:p w14:paraId="49C7643D" w14:textId="659758FD" w:rsidR="00E70ECE" w:rsidRPr="004B6CD8" w:rsidRDefault="00E70ECE">
            <w:pPr>
              <w:pStyle w:val="boldblue"/>
            </w:pPr>
            <w:r w:rsidRPr="004B6CD8">
              <w:t xml:space="preserve">Additional information provided by DG DGT on the </w:t>
            </w:r>
            <w:r w:rsidR="00C91759" w:rsidRPr="004B6CD8">
              <w:t xml:space="preserve">implemented measures </w:t>
            </w:r>
          </w:p>
          <w:p w14:paraId="030144EC" w14:textId="7AFBAE7E" w:rsidR="00E70ECE" w:rsidRPr="004B6CD8" w:rsidRDefault="00000F81" w:rsidP="00875DA2">
            <w:pPr>
              <w:jc w:val="both"/>
              <w:rPr>
                <w:noProof/>
              </w:rPr>
            </w:pPr>
            <w:r>
              <w:rPr>
                <w:noProof/>
              </w:rPr>
              <w:t xml:space="preserve">DG DGT </w:t>
            </w:r>
            <w:r w:rsidR="00C91759" w:rsidRPr="004B6CD8">
              <w:rPr>
                <w:noProof/>
              </w:rPr>
              <w:t xml:space="preserve">established </w:t>
            </w:r>
            <w:r>
              <w:rPr>
                <w:noProof/>
              </w:rPr>
              <w:t>a</w:t>
            </w:r>
            <w:r w:rsidRPr="00000F81">
              <w:rPr>
                <w:noProof/>
              </w:rPr>
              <w:t>n action plan</w:t>
            </w:r>
            <w:r w:rsidR="00B74B38">
              <w:rPr>
                <w:noProof/>
              </w:rPr>
              <w:t xml:space="preserve"> consisting of </w:t>
            </w:r>
            <w:r w:rsidR="00B74B38" w:rsidRPr="004B6CD8">
              <w:rPr>
                <w:noProof/>
              </w:rPr>
              <w:t>12 sub-actions</w:t>
            </w:r>
            <w:r w:rsidRPr="00000F81">
              <w:rPr>
                <w:noProof/>
              </w:rPr>
              <w:t xml:space="preserve"> </w:t>
            </w:r>
            <w:r w:rsidR="00C91759" w:rsidRPr="004B6CD8">
              <w:rPr>
                <w:noProof/>
              </w:rPr>
              <w:t>to address all audit findings</w:t>
            </w:r>
            <w:r w:rsidR="0057366A">
              <w:rPr>
                <w:noProof/>
              </w:rPr>
              <w:t xml:space="preserve">, </w:t>
            </w:r>
            <w:r w:rsidR="005543AE">
              <w:rPr>
                <w:noProof/>
              </w:rPr>
              <w:t>which was</w:t>
            </w:r>
            <w:r w:rsidR="005543AE" w:rsidRPr="004B6CD8">
              <w:rPr>
                <w:noProof/>
              </w:rPr>
              <w:t xml:space="preserve"> </w:t>
            </w:r>
            <w:r w:rsidR="00C91759" w:rsidRPr="004B6CD8">
              <w:rPr>
                <w:noProof/>
              </w:rPr>
              <w:t xml:space="preserve">considered </w:t>
            </w:r>
            <w:r w:rsidR="005543AE">
              <w:rPr>
                <w:noProof/>
              </w:rPr>
              <w:t xml:space="preserve">as </w:t>
            </w:r>
            <w:r w:rsidR="00C91759" w:rsidRPr="004B6CD8">
              <w:rPr>
                <w:noProof/>
              </w:rPr>
              <w:t xml:space="preserve">satisfactory by the IAS. </w:t>
            </w:r>
            <w:r w:rsidR="00875DA2" w:rsidRPr="004B6CD8">
              <w:rPr>
                <w:noProof/>
              </w:rPr>
              <w:t>Half of</w:t>
            </w:r>
            <w:r w:rsidR="00C91759" w:rsidRPr="004B6CD8">
              <w:rPr>
                <w:noProof/>
              </w:rPr>
              <w:t xml:space="preserve"> the sub-actions </w:t>
            </w:r>
            <w:r w:rsidR="00EA3F20">
              <w:rPr>
                <w:noProof/>
              </w:rPr>
              <w:t xml:space="preserve">had a </w:t>
            </w:r>
            <w:r w:rsidR="00C91759" w:rsidRPr="004B6CD8">
              <w:rPr>
                <w:noProof/>
              </w:rPr>
              <w:t xml:space="preserve">deadline </w:t>
            </w:r>
            <w:r w:rsidR="00EA3F20">
              <w:rPr>
                <w:noProof/>
              </w:rPr>
              <w:t>for</w:t>
            </w:r>
            <w:r w:rsidR="00C91759" w:rsidRPr="004B6CD8">
              <w:rPr>
                <w:noProof/>
              </w:rPr>
              <w:t xml:space="preserve"> implementation </w:t>
            </w:r>
            <w:r w:rsidR="00B74B38">
              <w:rPr>
                <w:noProof/>
              </w:rPr>
              <w:t xml:space="preserve">by the </w:t>
            </w:r>
            <w:r w:rsidR="00C91759" w:rsidRPr="004B6CD8">
              <w:rPr>
                <w:noProof/>
              </w:rPr>
              <w:t xml:space="preserve">end of </w:t>
            </w:r>
            <w:r>
              <w:rPr>
                <w:noProof/>
              </w:rPr>
              <w:t xml:space="preserve">the first quarter </w:t>
            </w:r>
            <w:r w:rsidR="00C91759" w:rsidRPr="004B6CD8">
              <w:rPr>
                <w:noProof/>
              </w:rPr>
              <w:t xml:space="preserve">2026 </w:t>
            </w:r>
            <w:r w:rsidR="00EA3F20">
              <w:rPr>
                <w:noProof/>
              </w:rPr>
              <w:t xml:space="preserve">and </w:t>
            </w:r>
            <w:r w:rsidR="00875DA2" w:rsidRPr="004B6CD8">
              <w:rPr>
                <w:noProof/>
              </w:rPr>
              <w:t xml:space="preserve">have been </w:t>
            </w:r>
            <w:r w:rsidR="00C91759" w:rsidRPr="004B6CD8">
              <w:rPr>
                <w:noProof/>
              </w:rPr>
              <w:t xml:space="preserve">implemented. These included </w:t>
            </w:r>
            <w:r w:rsidR="00B74B38">
              <w:rPr>
                <w:noProof/>
              </w:rPr>
              <w:t xml:space="preserve">actions such as </w:t>
            </w:r>
            <w:r w:rsidR="00C91759" w:rsidRPr="004B6CD8">
              <w:rPr>
                <w:noProof/>
              </w:rPr>
              <w:t xml:space="preserve">organising meetings with DG BUDG on the correct interpretation of some legal and procurement concepts, establishing a procedure for ensuring completeness of information in the </w:t>
            </w:r>
            <w:r w:rsidR="00875DA2" w:rsidRPr="004B6CD8">
              <w:rPr>
                <w:noProof/>
              </w:rPr>
              <w:t>a</w:t>
            </w:r>
            <w:r w:rsidR="00C91759" w:rsidRPr="004B6CD8">
              <w:rPr>
                <w:noProof/>
              </w:rPr>
              <w:t xml:space="preserve">ward </w:t>
            </w:r>
            <w:r w:rsidR="00875DA2" w:rsidRPr="004B6CD8">
              <w:rPr>
                <w:noProof/>
              </w:rPr>
              <w:t>d</w:t>
            </w:r>
            <w:r w:rsidR="00C91759" w:rsidRPr="004B6CD8">
              <w:rPr>
                <w:noProof/>
              </w:rPr>
              <w:t xml:space="preserve">ecision, implementing new rules in </w:t>
            </w:r>
            <w:r w:rsidR="00875DA2" w:rsidRPr="004B6CD8">
              <w:rPr>
                <w:noProof/>
              </w:rPr>
              <w:t>f</w:t>
            </w:r>
            <w:r w:rsidR="00C91759" w:rsidRPr="004B6CD8">
              <w:rPr>
                <w:noProof/>
              </w:rPr>
              <w:t xml:space="preserve">inancial </w:t>
            </w:r>
            <w:r w:rsidR="00875DA2" w:rsidRPr="004B6CD8">
              <w:rPr>
                <w:noProof/>
              </w:rPr>
              <w:t>c</w:t>
            </w:r>
            <w:r w:rsidR="00C91759" w:rsidRPr="004B6CD8">
              <w:rPr>
                <w:noProof/>
              </w:rPr>
              <w:t xml:space="preserve">ircuits. </w:t>
            </w:r>
            <w:r w:rsidR="00B74B38">
              <w:rPr>
                <w:noProof/>
              </w:rPr>
              <w:t xml:space="preserve">DG </w:t>
            </w:r>
            <w:r w:rsidR="00C91759" w:rsidRPr="004B6CD8">
              <w:rPr>
                <w:noProof/>
              </w:rPr>
              <w:t>DGT is therefore fully on track to meet the planned implementation dates.</w:t>
            </w:r>
            <w:r>
              <w:rPr>
                <w:noProof/>
              </w:rPr>
              <w:t xml:space="preserve"> </w:t>
            </w:r>
          </w:p>
        </w:tc>
      </w:tr>
    </w:tbl>
    <w:p w14:paraId="2F10813B" w14:textId="649AEA23" w:rsidR="0057062A" w:rsidRPr="004B6CD8" w:rsidRDefault="00E70ECE" w:rsidP="00D74BE0">
      <w:pPr>
        <w:pStyle w:val="amprH3Title2-Numbered-11"/>
        <w:numPr>
          <w:ilvl w:val="1"/>
          <w:numId w:val="51"/>
        </w:numPr>
        <w:rPr>
          <w:noProof/>
        </w:rPr>
      </w:pPr>
      <w:bookmarkStart w:id="23" w:name="_Toc231235422"/>
      <w:bookmarkEnd w:id="19"/>
      <w:bookmarkEnd w:id="20"/>
      <w:bookmarkEnd w:id="21"/>
      <w:r w:rsidRPr="004B6CD8">
        <w:rPr>
          <w:noProof/>
        </w:rPr>
        <w:t>Procurement (EISMEA)</w:t>
      </w:r>
      <w:bookmarkEnd w:id="23"/>
    </w:p>
    <w:p w14:paraId="76706FBC" w14:textId="133DD625" w:rsidR="009D6D25" w:rsidRPr="004B6CD8" w:rsidRDefault="00B7161F" w:rsidP="009D6D25">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objective of the audit was to assess if the governance, risk management and internal control framework set-up by EISMEA for its procurement activities are adequately designed, efficient and effective and </w:t>
      </w:r>
      <w:r w:rsidR="00420843">
        <w:rPr>
          <w:rFonts w:eastAsia="Calibri" w:cs="Times New Roman"/>
          <w:noProof/>
          <w:kern w:val="0"/>
          <w:lang w:val="en-GB"/>
          <w14:ligatures w14:val="none"/>
        </w:rPr>
        <w:t xml:space="preserve">to </w:t>
      </w:r>
      <w:r w:rsidRPr="004B6CD8">
        <w:rPr>
          <w:rFonts w:eastAsia="Calibri" w:cs="Times New Roman"/>
          <w:noProof/>
          <w:kern w:val="0"/>
          <w:lang w:val="en-GB"/>
          <w14:ligatures w14:val="none"/>
        </w:rPr>
        <w:t xml:space="preserve">provide reasonable assurance that the key internal control objectives </w:t>
      </w:r>
      <w:r w:rsidR="00921D56">
        <w:rPr>
          <w:rFonts w:eastAsia="Calibri" w:cs="Times New Roman"/>
          <w:noProof/>
          <w:kern w:val="0"/>
          <w:lang w:val="en-GB"/>
          <w14:ligatures w14:val="none"/>
        </w:rPr>
        <w:t>had been</w:t>
      </w:r>
      <w:r w:rsidRPr="004B6CD8">
        <w:rPr>
          <w:rFonts w:eastAsia="Calibri" w:cs="Times New Roman"/>
          <w:noProof/>
          <w:kern w:val="0"/>
          <w:lang w:val="en-GB"/>
          <w14:ligatures w14:val="none"/>
        </w:rPr>
        <w:t xml:space="preserve"> achieved</w:t>
      </w:r>
      <w:r w:rsidR="009D6D25" w:rsidRPr="004B6CD8">
        <w:rPr>
          <w:rFonts w:eastAsia="Calibri" w:cs="Times New Roman"/>
          <w:noProof/>
          <w:kern w:val="0"/>
          <w:lang w:val="en-GB"/>
          <w14:ligatures w14:val="none"/>
        </w:rPr>
        <w:t>.</w:t>
      </w:r>
    </w:p>
    <w:p w14:paraId="77981FF0" w14:textId="77777777" w:rsidR="00B7161F" w:rsidRPr="004B6CD8" w:rsidRDefault="00B7161F" w:rsidP="00B7161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220E2BA2" w14:textId="77777777" w:rsidR="00B7161F" w:rsidRPr="004B6CD8" w:rsidRDefault="00B7161F" w:rsidP="00B7161F">
      <w:pPr>
        <w:jc w:val="both"/>
        <w:rPr>
          <w:rFonts w:cs="Times New Roman"/>
          <w:i/>
          <w:iCs/>
          <w:noProof/>
          <w:color w:val="003399" w:themeColor="text2"/>
          <w:lang w:val="en-GB"/>
        </w:rPr>
      </w:pPr>
      <w:r w:rsidRPr="004B6CD8">
        <w:rPr>
          <w:rFonts w:cs="Times New Roman"/>
          <w:i/>
          <w:iCs/>
          <w:noProof/>
          <w:color w:val="003399" w:themeColor="text2"/>
          <w:lang w:val="en-GB"/>
        </w:rPr>
        <w:t>Is the governance framework for procurement activities adequately designed and efficiently and effectively implemented?</w:t>
      </w:r>
    </w:p>
    <w:p w14:paraId="14AC99A1" w14:textId="464CFEDD" w:rsidR="00B7161F" w:rsidRPr="004B6CD8" w:rsidRDefault="00B7161F" w:rsidP="00B7161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governance framework established by EISMEA for procurement activities is adequately designed, efficiently and effectively implemented. The centralised positioning of the procurement sector is adequate for and adapted to the needs of the Agency, the roles and responsibilities of the various actors in the procurement sector and operational units within EISMEA are clearly defined. The evaluation panels are appointed in accordance with the Financial Regulation and the </w:t>
      </w:r>
      <w:r w:rsidR="00921D56">
        <w:rPr>
          <w:rFonts w:eastAsia="Calibri" w:cs="Times New Roman"/>
          <w:noProof/>
          <w:kern w:val="0"/>
          <w:lang w:val="en-GB"/>
          <w14:ligatures w14:val="none"/>
        </w:rPr>
        <w:t>V</w:t>
      </w:r>
      <w:r w:rsidRPr="004B6CD8">
        <w:rPr>
          <w:rFonts w:eastAsia="Calibri" w:cs="Times New Roman"/>
          <w:noProof/>
          <w:kern w:val="0"/>
          <w:lang w:val="en-GB"/>
          <w14:ligatures w14:val="none"/>
        </w:rPr>
        <w:t xml:space="preserve">ademecum. However, the relation between the parent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and EISMEA is not sufficiently translated into practical arrangements as regards the split of roles and responsibilities at operational level, which may create issues in the preparation phase of the procurement.</w:t>
      </w:r>
    </w:p>
    <w:p w14:paraId="3C8E7CAC" w14:textId="77777777" w:rsidR="00B7161F" w:rsidRPr="004B6CD8" w:rsidRDefault="00B7161F" w:rsidP="00B7161F">
      <w:pPr>
        <w:jc w:val="both"/>
        <w:rPr>
          <w:rFonts w:cs="Times New Roman"/>
          <w:i/>
          <w:iCs/>
          <w:noProof/>
          <w:color w:val="003399" w:themeColor="text2"/>
          <w:lang w:val="en-GB"/>
        </w:rPr>
      </w:pPr>
      <w:r w:rsidRPr="004B6CD8">
        <w:rPr>
          <w:rFonts w:cs="Times New Roman"/>
          <w:i/>
          <w:iCs/>
          <w:noProof/>
          <w:color w:val="003399" w:themeColor="text2"/>
          <w:lang w:val="en-GB"/>
        </w:rPr>
        <w:t>Is the risk management framework for procurement activities adequately designed and effectively implemented?</w:t>
      </w:r>
    </w:p>
    <w:p w14:paraId="41519B64" w14:textId="77777777" w:rsidR="00B7161F" w:rsidRPr="004B6CD8" w:rsidRDefault="00B7161F" w:rsidP="00B7161F">
      <w:pPr>
        <w:jc w:val="both"/>
        <w:rPr>
          <w:rFonts w:eastAsia="Calibri" w:cs="Times New Roman"/>
          <w:noProof/>
          <w:kern w:val="0"/>
          <w:lang w:val="en-GB"/>
          <w14:ligatures w14:val="none"/>
        </w:rPr>
      </w:pPr>
      <w:r w:rsidRPr="004B6CD8">
        <w:rPr>
          <w:rFonts w:eastAsia="Calibri" w:cs="Times New Roman"/>
          <w:noProof/>
          <w:kern w:val="0"/>
          <w:lang w:val="en-GB"/>
          <w14:ligatures w14:val="none"/>
        </w:rPr>
        <w:t>The risk management framework for procurement activities is overall adequately designed. The procurement sector has developed a list of risks related to the procurement processes and implemented activities to mitigate them. However, the implementation of the risk management framework is, in some cases, only partially effective as the IAS found: (a) issues in the preliminary market analysis and identification of risks for the particular procurement procedures; and (b) three middle value procedures processed in parallel and presenting similarities, which may be perceived as a case of contract fragmentation.</w:t>
      </w:r>
    </w:p>
    <w:p w14:paraId="72C31B0D" w14:textId="77777777" w:rsidR="00B7161F" w:rsidRPr="004B6CD8" w:rsidRDefault="00B7161F" w:rsidP="00B7161F">
      <w:pPr>
        <w:jc w:val="both"/>
        <w:rPr>
          <w:rFonts w:cs="Times New Roman"/>
          <w:i/>
          <w:iCs/>
          <w:noProof/>
          <w:color w:val="003399" w:themeColor="text2"/>
          <w:lang w:val="en-GB"/>
        </w:rPr>
      </w:pPr>
      <w:r w:rsidRPr="004B6CD8">
        <w:rPr>
          <w:rFonts w:cs="Times New Roman"/>
          <w:i/>
          <w:iCs/>
          <w:noProof/>
          <w:color w:val="003399" w:themeColor="text2"/>
          <w:lang w:val="en-GB"/>
        </w:rPr>
        <w:t>Is the internal control framework for procurement activities adequately designed, efficiently and effectively implemented?</w:t>
      </w:r>
    </w:p>
    <w:p w14:paraId="682C7501" w14:textId="38468183" w:rsidR="00081853" w:rsidRDefault="00B7161F" w:rsidP="00F131BA">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internal control framework for procurement activities is overall adequately designed and efficiently and effectively implemented. This covers the budgetary and legal commitments, the identification of needs, the planning of the procurement procedures, the tendering and evaluation phases and the preparation and adoption of the award decision. The procurement process follows overall the requirements of the Financial Regulation and corporate </w:t>
      </w:r>
      <w:r w:rsidR="0048730D">
        <w:rPr>
          <w:rFonts w:eastAsia="Calibri" w:cs="Times New Roman"/>
          <w:noProof/>
          <w:kern w:val="0"/>
          <w:lang w:val="en-GB"/>
          <w14:ligatures w14:val="none"/>
        </w:rPr>
        <w:t>V</w:t>
      </w:r>
      <w:r w:rsidRPr="004B6CD8">
        <w:rPr>
          <w:rFonts w:eastAsia="Calibri" w:cs="Times New Roman"/>
          <w:noProof/>
          <w:kern w:val="0"/>
          <w:lang w:val="en-GB"/>
          <w14:ligatures w14:val="none"/>
        </w:rPr>
        <w:t>ademecum on procurement. The e-tendering is the default solution, and the main IT system (</w:t>
      </w:r>
      <w:r w:rsidR="00A018E5" w:rsidRPr="004B6CD8">
        <w:rPr>
          <w:rFonts w:eastAsia="Calibri" w:cs="Times New Roman"/>
          <w:noProof/>
          <w:kern w:val="0"/>
          <w:lang w:val="en-GB"/>
          <w14:ligatures w14:val="none"/>
        </w:rPr>
        <w:t xml:space="preserve">public procurement management tool - </w:t>
      </w:r>
      <w:r w:rsidRPr="004B6CD8">
        <w:rPr>
          <w:rFonts w:eastAsia="Calibri" w:cs="Times New Roman"/>
          <w:noProof/>
          <w:kern w:val="0"/>
          <w:lang w:val="en-GB"/>
          <w14:ligatures w14:val="none"/>
        </w:rPr>
        <w:t xml:space="preserve">PPMT) for the procurement process is overall adequately used. However, the IAS found that in one case sampled the Agency and the parent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did not adequately identify a conflict-of-interest situation, and the selection and award criteria were in some cases too strict or not proportional. In addition, data related to procurement files, including sensitive documents are not always stored and handled in compliance with the Commission’s rules.</w:t>
      </w:r>
    </w:p>
    <w:p w14:paraId="6E70A378" w14:textId="77777777" w:rsidR="00B7161F" w:rsidRPr="004B6CD8" w:rsidRDefault="00B7161F" w:rsidP="00B7161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2E9947CA" w14:textId="2F3BC009" w:rsidR="00B7161F" w:rsidRPr="004B6CD8" w:rsidRDefault="00B7161F" w:rsidP="00B7161F">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w:t>
      </w:r>
      <w:r w:rsidR="00B66185" w:rsidRPr="004B6CD8">
        <w:rPr>
          <w:rFonts w:eastAsia="Calibri" w:cs="Times New Roman"/>
          <w:noProof/>
          <w:kern w:val="0"/>
          <w:lang w:val="en-GB"/>
          <w14:ligatures w14:val="none"/>
        </w:rPr>
        <w:t>,</w:t>
      </w:r>
      <w:r w:rsidRPr="004B6CD8">
        <w:rPr>
          <w:rFonts w:eastAsia="Calibri" w:cs="Times New Roman"/>
          <w:noProof/>
          <w:kern w:val="0"/>
          <w:lang w:val="en-GB"/>
          <w14:ligatures w14:val="none"/>
        </w:rPr>
        <w:t xml:space="preserve"> overall, EISMEA has adequately designed and efficiently and effectively implemented the governance, risk management and internal control framework for its procurement activities, which provides reasonable assurance that the key internal control objectives are achieved, except for one very important issue concerning the identification of the conflict of interest aspects, which EISMEA needs to reinforce, in cooperation with its parent Directorates-General.</w:t>
      </w:r>
    </w:p>
    <w:p w14:paraId="74C68E77" w14:textId="644F4B73" w:rsidR="00B7161F" w:rsidRPr="004B6CD8" w:rsidRDefault="00862A73" w:rsidP="00B7161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w:t>
      </w:r>
      <w:r w:rsidR="00B7161F" w:rsidRPr="008A53FC">
        <w:rPr>
          <w:rFonts w:eastAsia="Calibri" w:cs="Times New Roman"/>
          <w:noProof/>
          <w:kern w:val="0"/>
          <w:u w:val="single"/>
          <w:lang w:val="en-GB"/>
          <w14:ligatures w14:val="none"/>
        </w:rPr>
        <w:t xml:space="preserve"> </w:t>
      </w:r>
      <w:r w:rsidR="00B66185" w:rsidRPr="004B6CD8">
        <w:rPr>
          <w:rFonts w:cs="Times New Roman"/>
          <w:b/>
          <w:bCs/>
          <w:noProof/>
          <w:color w:val="003399" w:themeColor="text2"/>
          <w:u w:val="single"/>
          <w:lang w:val="en-GB"/>
        </w:rPr>
        <w:t>r</w:t>
      </w:r>
      <w:r w:rsidR="00B7161F" w:rsidRPr="004B6CD8">
        <w:rPr>
          <w:rFonts w:cs="Times New Roman"/>
          <w:b/>
          <w:bCs/>
          <w:noProof/>
          <w:color w:val="003399" w:themeColor="text2"/>
          <w:u w:val="single"/>
          <w:lang w:val="en-GB"/>
        </w:rPr>
        <w:t>ecommendation</w:t>
      </w:r>
    </w:p>
    <w:p w14:paraId="7D227024" w14:textId="510E566A" w:rsidR="00915A2D" w:rsidRDefault="00B7161F" w:rsidP="00862A73">
      <w:pPr>
        <w:jc w:val="both"/>
        <w:rPr>
          <w:rFonts w:eastAsia="Calibri" w:cs="Times New Roman"/>
          <w:b/>
          <w:bCs/>
          <w:noProof/>
          <w:color w:val="003399" w:themeColor="text2"/>
          <w:kern w:val="0"/>
          <w:lang w:val="en-GB"/>
          <w14:ligatures w14:val="none"/>
        </w:rPr>
      </w:pPr>
      <w:r w:rsidRPr="004B6CD8">
        <w:rPr>
          <w:rFonts w:eastAsia="Calibri" w:cs="Times New Roman"/>
          <w:noProof/>
          <w:kern w:val="0"/>
          <w:lang w:val="en-GB"/>
          <w14:ligatures w14:val="none"/>
        </w:rPr>
        <w:t>Recommendation No 3</w:t>
      </w:r>
      <w:r w:rsidR="00915A2D">
        <w:rPr>
          <w:rFonts w:eastAsia="Calibri" w:cs="Times New Roman"/>
          <w:noProof/>
          <w:kern w:val="0"/>
          <w:lang w:val="en-GB"/>
          <w14:ligatures w14:val="none"/>
        </w:rPr>
        <w:t xml:space="preserve">, on the </w:t>
      </w:r>
      <w:r w:rsidR="00915A2D" w:rsidRPr="008A53FC">
        <w:rPr>
          <w:rFonts w:eastAsia="Calibri" w:cs="Times New Roman"/>
          <w:b/>
          <w:bCs/>
          <w:noProof/>
          <w:color w:val="003399" w:themeColor="text2"/>
          <w:kern w:val="0"/>
          <w:lang w:val="en-GB"/>
          <w14:ligatures w14:val="none"/>
        </w:rPr>
        <w:t>checks on (potential) conflict of interest aspects,</w:t>
      </w:r>
      <w:r w:rsidR="00915A2D" w:rsidRPr="004B6CD8">
        <w:rPr>
          <w:rFonts w:eastAsia="Calibri" w:cs="Times New Roman"/>
          <w:noProof/>
          <w:kern w:val="0"/>
          <w:lang w:val="en-GB"/>
          <w14:ligatures w14:val="none"/>
        </w:rPr>
        <w:t xml:space="preserve"> </w:t>
      </w:r>
      <w:r w:rsidRPr="004B6CD8">
        <w:rPr>
          <w:rFonts w:eastAsia="Calibri" w:cs="Times New Roman"/>
          <w:b/>
          <w:bCs/>
          <w:noProof/>
          <w:color w:val="003399" w:themeColor="text2"/>
          <w:kern w:val="0"/>
          <w:lang w:val="en-GB"/>
          <w14:ligatures w14:val="none"/>
        </w:rPr>
        <w:t xml:space="preserve">EISMEA </w:t>
      </w:r>
      <w:r w:rsidRPr="008A53FC">
        <w:rPr>
          <w:rFonts w:eastAsia="Calibri" w:cs="Times New Roman"/>
          <w:noProof/>
          <w:kern w:val="0"/>
          <w:lang w:val="en-GB"/>
          <w14:ligatures w14:val="none"/>
        </w:rPr>
        <w:t>should</w:t>
      </w:r>
      <w:r w:rsidR="00915A2D">
        <w:rPr>
          <w:rFonts w:eastAsia="Calibri" w:cs="Times New Roman"/>
          <w:b/>
          <w:bCs/>
          <w:noProof/>
          <w:color w:val="003399" w:themeColor="text2"/>
          <w:kern w:val="0"/>
          <w:lang w:val="en-GB"/>
          <w14:ligatures w14:val="none"/>
        </w:rPr>
        <w:t>:</w:t>
      </w:r>
    </w:p>
    <w:p w14:paraId="598D3C29" w14:textId="6D463A69" w:rsidR="0057062A" w:rsidRPr="004B6CD8" w:rsidRDefault="00B7161F" w:rsidP="0003593D">
      <w:pPr>
        <w:pStyle w:val="amprLISTtealbullets-L1"/>
        <w:spacing w:after="240"/>
        <w:ind w:left="782" w:hanging="357"/>
        <w:rPr>
          <w:rFonts w:eastAsia="Calibri"/>
          <w:noProof/>
        </w:rPr>
      </w:pPr>
      <w:r w:rsidRPr="004B6CD8">
        <w:rPr>
          <w:rFonts w:eastAsia="Calibri"/>
          <w:noProof/>
        </w:rPr>
        <w:t xml:space="preserve">reinforce the checks on (potential) </w:t>
      </w:r>
      <w:r w:rsidR="00B74B38" w:rsidRPr="00B74B38">
        <w:rPr>
          <w:rFonts w:eastAsia="Calibri"/>
          <w:noProof/>
        </w:rPr>
        <w:t>conflict of interest aspects</w:t>
      </w:r>
      <w:r w:rsidRPr="004B6CD8">
        <w:rPr>
          <w:rFonts w:eastAsia="Calibri"/>
          <w:noProof/>
        </w:rPr>
        <w: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57062A" w:rsidRPr="00FB5A04" w14:paraId="6C95521F" w14:textId="77777777" w:rsidTr="00E00A90">
        <w:tc>
          <w:tcPr>
            <w:tcW w:w="9057" w:type="dxa"/>
          </w:tcPr>
          <w:p w14:paraId="1A49C99D" w14:textId="3DF2BA17" w:rsidR="0057062A" w:rsidRPr="004B6CD8" w:rsidRDefault="0057062A" w:rsidP="00F22E64">
            <w:pPr>
              <w:pStyle w:val="boldblue"/>
            </w:pPr>
            <w:r w:rsidRPr="004B6CD8">
              <w:t xml:space="preserve">Additional information provided </w:t>
            </w:r>
            <w:r w:rsidR="00B66185" w:rsidRPr="004B6CD8">
              <w:t xml:space="preserve">by </w:t>
            </w:r>
            <w:r w:rsidR="00862A73" w:rsidRPr="004B6CD8">
              <w:t>EISMEA</w:t>
            </w:r>
            <w:r w:rsidR="00C11B9E" w:rsidRPr="004B6CD8">
              <w:t xml:space="preserve"> </w:t>
            </w:r>
            <w:r w:rsidR="008A53FC" w:rsidRPr="004B6CD8">
              <w:t xml:space="preserve">on the implemented measures </w:t>
            </w:r>
          </w:p>
          <w:p w14:paraId="1BC841E9" w14:textId="00FD04C1" w:rsidR="0057062A" w:rsidRPr="004B6CD8" w:rsidRDefault="00C91759" w:rsidP="00FF33A6">
            <w:pPr>
              <w:jc w:val="both"/>
              <w:rPr>
                <w:bCs/>
                <w:noProof/>
              </w:rPr>
            </w:pPr>
            <w:r w:rsidRPr="004B6CD8">
              <w:rPr>
                <w:bCs/>
                <w:noProof/>
              </w:rPr>
              <w:t xml:space="preserve">EISMEA accepted the recommendation and </w:t>
            </w:r>
            <w:r w:rsidR="0057366A" w:rsidRPr="004B6CD8">
              <w:rPr>
                <w:bCs/>
                <w:noProof/>
              </w:rPr>
              <w:t xml:space="preserve">submitted </w:t>
            </w:r>
            <w:r w:rsidRPr="004B6CD8">
              <w:rPr>
                <w:bCs/>
                <w:noProof/>
              </w:rPr>
              <w:t>an action plan to the IAS</w:t>
            </w:r>
            <w:r w:rsidR="0057366A">
              <w:rPr>
                <w:bCs/>
                <w:noProof/>
              </w:rPr>
              <w:t xml:space="preserve"> </w:t>
            </w:r>
            <w:r w:rsidR="0057366A" w:rsidRPr="004B6CD8">
              <w:rPr>
                <w:bCs/>
                <w:noProof/>
              </w:rPr>
              <w:t>early February 2026</w:t>
            </w:r>
            <w:r w:rsidRPr="004B6CD8">
              <w:rPr>
                <w:bCs/>
                <w:noProof/>
              </w:rPr>
              <w:t>, who assessed it as satisfactory. The implementation of the recommendation is on track and EISMEA is committed to duly implement the agreed corrective actions in 2026.</w:t>
            </w:r>
          </w:p>
        </w:tc>
      </w:tr>
    </w:tbl>
    <w:p w14:paraId="377C5E3B" w14:textId="28F4C747" w:rsidR="0057062A" w:rsidRPr="004B6CD8" w:rsidRDefault="00E00A90" w:rsidP="00D74BE0">
      <w:pPr>
        <w:pStyle w:val="amprH3Title2-Numbered-11"/>
        <w:numPr>
          <w:ilvl w:val="1"/>
          <w:numId w:val="51"/>
        </w:numPr>
        <w:rPr>
          <w:noProof/>
        </w:rPr>
      </w:pPr>
      <w:bookmarkStart w:id="24" w:name="_Toc231235423"/>
      <w:r w:rsidRPr="004B6CD8">
        <w:rPr>
          <w:noProof/>
        </w:rPr>
        <w:t>Project management and payment process for the EU4Health Programme</w:t>
      </w:r>
      <w:r w:rsidR="00A90FFE" w:rsidRPr="004B6CD8">
        <w:rPr>
          <w:noProof/>
        </w:rPr>
        <w:t xml:space="preserve"> (HaDEA)</w:t>
      </w:r>
      <w:bookmarkEnd w:id="24"/>
    </w:p>
    <w:p w14:paraId="6ECF7DA6" w14:textId="6C54C716" w:rsidR="007A45B3" w:rsidRPr="004B6CD8" w:rsidRDefault="00EB0AE4" w:rsidP="007A45B3">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the effectiveness of the governance, risk management and internal control processes put in place by HaDEA for project management and payments of EU4Health grants (including anti-fraud checks and corrective mechanisms) with the aim to achieve the programme’s objectives, in compliance with the applicable rules.</w:t>
      </w:r>
      <w:r w:rsidR="005543AE">
        <w:rPr>
          <w:rFonts w:eastAsia="Calibri" w:cs="Times New Roman"/>
          <w:noProof/>
          <w:kern w:val="0"/>
          <w:lang w:val="en-GB"/>
          <w14:ligatures w14:val="none"/>
        </w:rPr>
        <w:t xml:space="preserve"> </w:t>
      </w:r>
    </w:p>
    <w:p w14:paraId="6A975FD4" w14:textId="77777777" w:rsidR="00EB0AE4" w:rsidRPr="004B6CD8" w:rsidRDefault="00EB0AE4" w:rsidP="00EB0AE4">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35934F29" w14:textId="77777777" w:rsidR="00EB0AE4" w:rsidRPr="004B6CD8" w:rsidRDefault="00EB0AE4" w:rsidP="00EB0AE4">
      <w:pPr>
        <w:jc w:val="both"/>
        <w:rPr>
          <w:rFonts w:cs="Times New Roman"/>
          <w:i/>
          <w:iCs/>
          <w:noProof/>
          <w:color w:val="003399" w:themeColor="text2"/>
          <w:lang w:val="en-GB"/>
        </w:rPr>
      </w:pPr>
      <w:r w:rsidRPr="004B6CD8">
        <w:rPr>
          <w:rFonts w:cs="Times New Roman"/>
          <w:i/>
          <w:iCs/>
          <w:noProof/>
          <w:color w:val="003399" w:themeColor="text2"/>
          <w:lang w:val="en-GB"/>
        </w:rPr>
        <w:t xml:space="preserve">Are the governance, risk management and internal control processes related to the project management and payment processes adequately implemented by competent HaDEA staff? </w:t>
      </w:r>
    </w:p>
    <w:p w14:paraId="6F509C00" w14:textId="77777777" w:rsidR="00EB0AE4" w:rsidRPr="004B6CD8" w:rsidRDefault="00EB0AE4" w:rsidP="00EB0AE4">
      <w:pPr>
        <w:jc w:val="both"/>
        <w:rPr>
          <w:rFonts w:eastAsia="Calibri" w:cs="Times New Roman"/>
          <w:noProof/>
          <w:kern w:val="0"/>
          <w:lang w:val="en-GB"/>
          <w14:ligatures w14:val="none"/>
        </w:rPr>
      </w:pPr>
      <w:r w:rsidRPr="004B6CD8">
        <w:rPr>
          <w:rFonts w:eastAsia="Calibri" w:cs="Times New Roman"/>
          <w:noProof/>
          <w:kern w:val="0"/>
          <w:lang w:val="en-GB"/>
          <w14:ligatures w14:val="none"/>
        </w:rPr>
        <w:t>HaDEA implements its control strategy by providing training and guidance to its staff and by effective management supervision. The business continuity procedures have been defined and effectively implemented. In addition, HaDEA monitors the project execution through activities that are proportionate to the level of risk and complexity of the projects.</w:t>
      </w:r>
    </w:p>
    <w:p w14:paraId="027DB07A" w14:textId="77777777" w:rsidR="00EB0AE4" w:rsidRPr="004B6CD8" w:rsidRDefault="00EB0AE4" w:rsidP="00EB0AE4">
      <w:pPr>
        <w:jc w:val="both"/>
        <w:rPr>
          <w:rFonts w:cs="Times New Roman"/>
          <w:i/>
          <w:iCs/>
          <w:noProof/>
          <w:color w:val="003399" w:themeColor="text2"/>
          <w:lang w:val="en-GB"/>
        </w:rPr>
      </w:pPr>
      <w:r w:rsidRPr="004B6CD8">
        <w:rPr>
          <w:rFonts w:cs="Times New Roman"/>
          <w:i/>
          <w:iCs/>
          <w:noProof/>
          <w:color w:val="003399" w:themeColor="text2"/>
          <w:lang w:val="en-GB"/>
        </w:rPr>
        <w:t>Is the payment process effective and does it ensure compliance with the legal provisions?</w:t>
      </w:r>
    </w:p>
    <w:p w14:paraId="2AE7F131" w14:textId="77777777" w:rsidR="00EB0AE4" w:rsidRPr="004B6CD8" w:rsidRDefault="00EB0AE4" w:rsidP="00EB0AE4">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payment process is overall effective and ensures compliance with the legal provisions. The financial workflows are efficient and </w:t>
      </w:r>
      <w:r w:rsidRPr="006B5636">
        <w:rPr>
          <w:rFonts w:eastAsia="Calibri" w:cs="Times New Roman"/>
          <w:i/>
          <w:iCs/>
          <w:noProof/>
          <w:kern w:val="0"/>
          <w:lang w:val="en-GB"/>
          <w14:ligatures w14:val="none"/>
        </w:rPr>
        <w:t>ex ante</w:t>
      </w:r>
      <w:r w:rsidRPr="004B6CD8">
        <w:rPr>
          <w:rFonts w:eastAsia="Calibri" w:cs="Times New Roman"/>
          <w:noProof/>
          <w:kern w:val="0"/>
          <w:lang w:val="en-GB"/>
          <w14:ligatures w14:val="none"/>
        </w:rPr>
        <w:t xml:space="preserve"> controls are performed in line with the requirements of the Financial Regulation. Financial corrections are properly calculated and applied when necessary, but the audit identified some shortcomings in the documentation of the checks performed and the reporting about control results.</w:t>
      </w:r>
    </w:p>
    <w:p w14:paraId="1F1CB979" w14:textId="77777777" w:rsidR="00EB0AE4" w:rsidRPr="004B6CD8" w:rsidRDefault="00EB0AE4" w:rsidP="00EB0AE4">
      <w:pPr>
        <w:jc w:val="both"/>
        <w:rPr>
          <w:rFonts w:cs="Times New Roman"/>
          <w:i/>
          <w:iCs/>
          <w:noProof/>
          <w:color w:val="003399" w:themeColor="text2"/>
          <w:lang w:val="en-GB"/>
        </w:rPr>
      </w:pPr>
      <w:r w:rsidRPr="004B6CD8">
        <w:rPr>
          <w:rFonts w:cs="Times New Roman"/>
          <w:i/>
          <w:iCs/>
          <w:noProof/>
          <w:color w:val="003399" w:themeColor="text2"/>
          <w:lang w:val="en-GB"/>
        </w:rPr>
        <w:t>Is the grant amendment process effective and does it ensure compliance with the legal provisions?</w:t>
      </w:r>
    </w:p>
    <w:p w14:paraId="197479D9" w14:textId="13B94E7E" w:rsidR="00F131BA" w:rsidRDefault="00EB0AE4" w:rsidP="00F131BA">
      <w:pPr>
        <w:jc w:val="both"/>
        <w:rPr>
          <w:rFonts w:eastAsia="Calibri" w:cs="Times New Roman"/>
          <w:noProof/>
          <w:kern w:val="0"/>
          <w:lang w:val="en-GB"/>
          <w14:ligatures w14:val="none"/>
        </w:rPr>
      </w:pPr>
      <w:r w:rsidRPr="004B6CD8">
        <w:rPr>
          <w:rFonts w:eastAsia="Calibri" w:cs="Times New Roman"/>
          <w:noProof/>
          <w:kern w:val="0"/>
          <w:lang w:val="en-GB"/>
          <w14:ligatures w14:val="none"/>
        </w:rPr>
        <w:t>The grant amendment process was effective and ensured compliance with the legal provisions. Existing controls ensure that the amendments comply with the provisions of the grant agreements and the rules governing the responsible actors and the timing of amendments are respected.</w:t>
      </w:r>
    </w:p>
    <w:p w14:paraId="4704FFB4" w14:textId="77777777" w:rsidR="00F131BA" w:rsidRDefault="00F131BA">
      <w:pPr>
        <w:spacing w:before="0" w:after="160"/>
        <w:rPr>
          <w:rFonts w:eastAsia="Calibri" w:cs="Times New Roman"/>
          <w:noProof/>
          <w:kern w:val="0"/>
          <w:lang w:val="en-GB"/>
          <w14:ligatures w14:val="none"/>
        </w:rPr>
      </w:pPr>
      <w:r>
        <w:rPr>
          <w:rFonts w:eastAsia="Calibri" w:cs="Times New Roman"/>
          <w:noProof/>
          <w:kern w:val="0"/>
          <w:lang w:val="en-GB"/>
          <w14:ligatures w14:val="none"/>
        </w:rPr>
        <w:br w:type="page"/>
      </w:r>
    </w:p>
    <w:p w14:paraId="587FE580" w14:textId="77777777" w:rsidR="00EB0AE4" w:rsidRPr="004B6CD8" w:rsidRDefault="00EB0AE4" w:rsidP="00EB0AE4">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6796B420" w14:textId="77777777" w:rsidR="00EB0AE4" w:rsidRPr="004B6CD8" w:rsidRDefault="00EB0AE4" w:rsidP="00EB0AE4">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the internal control system that HaDEA has put in place for the project management and payment process for the EU4Health Programme (grant management and payment) is adequately designed and effectively implemented, in compliance with the applicable rules.</w:t>
      </w:r>
    </w:p>
    <w:p w14:paraId="7EFA2EAE" w14:textId="2D9E3846"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5A6E6352" w14:textId="0AA4E859" w:rsidR="00EB0AE4" w:rsidRPr="004B6CD8" w:rsidRDefault="00EB0AE4" w:rsidP="00EB0AE4">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w:t>
      </w:r>
      <w:r w:rsidRPr="008A53FC">
        <w:rPr>
          <w:rStyle w:val="BoldAccent1"/>
          <w:noProof/>
          <w:color w:val="003399" w:themeColor="text2"/>
        </w:rPr>
        <w:t>IAS</w:t>
      </w:r>
      <w:r w:rsidRPr="008A53FC">
        <w:rPr>
          <w:rFonts w:eastAsia="Calibri" w:cs="Times New Roman"/>
          <w:noProof/>
          <w:color w:val="003399" w:themeColor="text2"/>
          <w:kern w:val="0"/>
          <w:lang w:val="en-GB"/>
          <w14:ligatures w14:val="none"/>
        </w:rPr>
        <w:t xml:space="preserve"> </w:t>
      </w:r>
      <w:r w:rsidRPr="004B6CD8">
        <w:rPr>
          <w:rFonts w:eastAsia="Calibri" w:cs="Times New Roman"/>
          <w:noProof/>
          <w:kern w:val="0"/>
          <w:lang w:val="en-GB"/>
          <w14:ligatures w14:val="none"/>
        </w:rPr>
        <w:t>did not formulate any critical or very important recommendations.</w:t>
      </w:r>
    </w:p>
    <w:p w14:paraId="6E45743D" w14:textId="18CE80B8" w:rsidR="00317A41" w:rsidRPr="004B6CD8" w:rsidRDefault="00EB0AE4" w:rsidP="00D74BE0">
      <w:pPr>
        <w:pStyle w:val="amprH3Title2-Numbered-11"/>
        <w:numPr>
          <w:ilvl w:val="1"/>
          <w:numId w:val="51"/>
        </w:numPr>
        <w:rPr>
          <w:noProof/>
        </w:rPr>
      </w:pPr>
      <w:bookmarkStart w:id="25" w:name="_Toc231235424"/>
      <w:r w:rsidRPr="004B6CD8">
        <w:rPr>
          <w:noProof/>
        </w:rPr>
        <w:t>Project management and payment process of the European Defence Fund</w:t>
      </w:r>
      <w:r w:rsidR="00F610B7">
        <w:rPr>
          <w:noProof/>
        </w:rPr>
        <w:t xml:space="preserve"> (DG DEFIS)</w:t>
      </w:r>
      <w:bookmarkEnd w:id="25"/>
    </w:p>
    <w:p w14:paraId="5C79A638" w14:textId="3A008A71" w:rsidR="00557495" w:rsidRPr="004B6CD8" w:rsidRDefault="00B82F5E" w:rsidP="00B82F5E">
      <w:pPr>
        <w:pStyle w:val="amprLISTtealbullets-L1"/>
        <w:numPr>
          <w:ilvl w:val="0"/>
          <w:numId w:val="0"/>
        </w:numPr>
        <w:rPr>
          <w:rFonts w:eastAsia="Calibri" w:cs="Times New Roman"/>
          <w:noProof/>
          <w:szCs w:val="24"/>
        </w:rPr>
      </w:pPr>
      <w:r w:rsidRPr="004B6CD8">
        <w:rPr>
          <w:rFonts w:eastAsia="Calibri" w:cs="Times New Roman"/>
          <w:noProof/>
          <w:szCs w:val="24"/>
        </w:rPr>
        <w:t xml:space="preserve">The objective of the audit was to assess the adequacy of the design and effective and efficient implementation of the governance, risk management and internal control systems put in place by DG DEFIS for the project management of the European Defence Fund grants and the </w:t>
      </w:r>
      <w:r w:rsidRPr="008A53FC">
        <w:rPr>
          <w:rFonts w:eastAsia="Calibri" w:cs="Times New Roman"/>
          <w:i/>
          <w:iCs/>
          <w:noProof/>
          <w:szCs w:val="24"/>
        </w:rPr>
        <w:t>ex ante</w:t>
      </w:r>
      <w:r w:rsidRPr="004B6CD8">
        <w:rPr>
          <w:rFonts w:eastAsia="Calibri" w:cs="Times New Roman"/>
          <w:noProof/>
          <w:szCs w:val="24"/>
        </w:rPr>
        <w:t xml:space="preserve"> financial controls on their interim payments, in compliance with the applicable rules.</w:t>
      </w:r>
    </w:p>
    <w:p w14:paraId="4DCBA964" w14:textId="77777777" w:rsidR="00B82F5E" w:rsidRPr="004B6CD8" w:rsidRDefault="00B82F5E" w:rsidP="00B82F5E">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0BD56C90" w14:textId="45E9805F" w:rsidR="00B82F5E" w:rsidRPr="004B6CD8" w:rsidRDefault="00B82F5E" w:rsidP="00B82F5E">
      <w:pPr>
        <w:jc w:val="both"/>
        <w:rPr>
          <w:rFonts w:cs="Times New Roman"/>
          <w:i/>
          <w:iCs/>
          <w:noProof/>
          <w:color w:val="003399" w:themeColor="text2"/>
          <w:lang w:val="en-GB"/>
        </w:rPr>
      </w:pPr>
      <w:r w:rsidRPr="004B6CD8">
        <w:rPr>
          <w:rFonts w:cs="Times New Roman"/>
          <w:i/>
          <w:iCs/>
          <w:noProof/>
          <w:color w:val="003399" w:themeColor="text2"/>
          <w:lang w:val="en-GB"/>
        </w:rPr>
        <w:t>Are DG DEFIS governance, risk management and internal control systems for the project management and payment process of the European Defence Fund adequately designed?</w:t>
      </w:r>
    </w:p>
    <w:p w14:paraId="36426705" w14:textId="77777777" w:rsidR="00B82F5E" w:rsidRPr="004B6CD8" w:rsidRDefault="00B82F5E" w:rsidP="00B82F5E">
      <w:pPr>
        <w:jc w:val="both"/>
        <w:rPr>
          <w:rFonts w:eastAsia="Calibri" w:cs="Times New Roman"/>
          <w:noProof/>
          <w:kern w:val="0"/>
          <w:szCs w:val="24"/>
          <w:lang w:val="en-GB" w:eastAsia="en-GB"/>
          <w14:ligatures w14:val="none"/>
        </w:rPr>
      </w:pPr>
      <w:r w:rsidRPr="004B6CD8">
        <w:rPr>
          <w:rFonts w:eastAsia="Calibri" w:cs="Times New Roman"/>
          <w:noProof/>
          <w:kern w:val="0"/>
          <w:szCs w:val="24"/>
          <w:lang w:val="en-GB" w:eastAsia="en-GB"/>
          <w14:ligatures w14:val="none"/>
        </w:rPr>
        <w:t>DG DEFIS has designed adequate governance, risk management and internal control systems for the project management and payment process of the European Defence Fund that include:</w:t>
      </w:r>
    </w:p>
    <w:p w14:paraId="2C76EFD4" w14:textId="1F8F2B9B" w:rsidR="00B82F5E" w:rsidRPr="004B6CD8" w:rsidRDefault="00B82F5E" w:rsidP="00707643">
      <w:pPr>
        <w:pStyle w:val="amprLISTtealbullets-L1"/>
        <w:rPr>
          <w:rFonts w:eastAsia="Calibri"/>
          <w:noProof/>
        </w:rPr>
      </w:pPr>
      <w:r w:rsidRPr="004B6CD8">
        <w:rPr>
          <w:rFonts w:eastAsia="Calibri"/>
          <w:noProof/>
        </w:rPr>
        <w:t>project management / monitoring activities that are proportionate to the European Defence Fund projects’ complexity / risks and are in line with the requirements of the Financial Regulation;</w:t>
      </w:r>
    </w:p>
    <w:p w14:paraId="69DB56A7" w14:textId="67192FE7" w:rsidR="00B82F5E" w:rsidRPr="004B6CD8" w:rsidRDefault="00B82F5E" w:rsidP="00707643">
      <w:pPr>
        <w:pStyle w:val="amprLISTtealbullets-L1"/>
        <w:rPr>
          <w:rFonts w:eastAsia="Calibri"/>
          <w:noProof/>
        </w:rPr>
      </w:pPr>
      <w:r w:rsidRPr="004B6CD8">
        <w:rPr>
          <w:rFonts w:eastAsia="Calibri"/>
          <w:noProof/>
        </w:rPr>
        <w:t>clear definition, assignment and communication of the roles and responsibilities for the European Defence Fund project management and interim payments;</w:t>
      </w:r>
    </w:p>
    <w:p w14:paraId="1E983F2E" w14:textId="24CCCC28" w:rsidR="00B82F5E" w:rsidRPr="004B6CD8" w:rsidRDefault="00B82F5E" w:rsidP="00707643">
      <w:pPr>
        <w:pStyle w:val="amprLISTtealbullets-L1"/>
        <w:rPr>
          <w:rFonts w:eastAsia="Calibri"/>
          <w:noProof/>
        </w:rPr>
      </w:pPr>
      <w:r w:rsidRPr="004B6CD8">
        <w:rPr>
          <w:rFonts w:eastAsia="Calibri"/>
          <w:noProof/>
        </w:rPr>
        <w:t xml:space="preserve">provision of appropriate training and guidance to the staff involved in the audited process; </w:t>
      </w:r>
    </w:p>
    <w:p w14:paraId="51BC7A83" w14:textId="04F37A26" w:rsidR="00B82F5E" w:rsidRPr="004B6CD8" w:rsidRDefault="00B82F5E" w:rsidP="00707643">
      <w:pPr>
        <w:pStyle w:val="amprLISTtealbullets-L1"/>
        <w:rPr>
          <w:rFonts w:eastAsia="Calibri"/>
          <w:noProof/>
        </w:rPr>
      </w:pPr>
      <w:r w:rsidRPr="004B6CD8">
        <w:rPr>
          <w:rFonts w:eastAsia="Calibri"/>
          <w:noProof/>
        </w:rPr>
        <w:t>adequate business continuity measures; and</w:t>
      </w:r>
    </w:p>
    <w:p w14:paraId="41E8396A" w14:textId="570C6ACD" w:rsidR="00B82F5E" w:rsidRPr="004B6CD8" w:rsidRDefault="00B82F5E" w:rsidP="00707643">
      <w:pPr>
        <w:pStyle w:val="amprLISTtealbullets-L1"/>
        <w:rPr>
          <w:rFonts w:eastAsia="Calibri"/>
          <w:noProof/>
        </w:rPr>
      </w:pPr>
      <w:r w:rsidRPr="004B6CD8">
        <w:rPr>
          <w:rFonts w:eastAsia="Calibri"/>
          <w:noProof/>
        </w:rPr>
        <w:t>proper management supervision for the European Defence Fund project management and interim payments.</w:t>
      </w:r>
    </w:p>
    <w:p w14:paraId="27EEFB98" w14:textId="77777777" w:rsidR="003C18C9" w:rsidRPr="004B6CD8" w:rsidRDefault="003C18C9" w:rsidP="003C18C9">
      <w:pPr>
        <w:rPr>
          <w:rFonts w:cs="Times New Roman"/>
          <w:i/>
          <w:iCs/>
          <w:noProof/>
          <w:color w:val="003399" w:themeColor="text2"/>
          <w:lang w:val="en-GB"/>
        </w:rPr>
      </w:pPr>
      <w:r w:rsidRPr="004B6CD8">
        <w:rPr>
          <w:rFonts w:cs="Times New Roman"/>
          <w:i/>
          <w:iCs/>
          <w:noProof/>
          <w:color w:val="003399" w:themeColor="text2"/>
          <w:lang w:val="en-GB"/>
        </w:rPr>
        <w:t>Has the project management process for the European Defence Fund grants been effectively implemented?</w:t>
      </w:r>
    </w:p>
    <w:p w14:paraId="1636CE7D" w14:textId="231FC8E4" w:rsidR="003C18C9" w:rsidRPr="004B6CD8" w:rsidRDefault="003C18C9" w:rsidP="003C18C9">
      <w:pPr>
        <w:rPr>
          <w:noProof/>
          <w:lang w:val="en-GB"/>
        </w:rPr>
      </w:pPr>
      <w:r w:rsidRPr="004B6CD8">
        <w:rPr>
          <w:noProof/>
          <w:lang w:val="en-GB"/>
        </w:rPr>
        <w:t xml:space="preserve">The project management process for the European Defence Fund grants has been effectively implemented as the European Defence Fund project management steps have been effective, the </w:t>
      </w:r>
      <w:r w:rsidRPr="008A53FC">
        <w:rPr>
          <w:i/>
          <w:iCs/>
          <w:noProof/>
          <w:lang w:val="en-GB"/>
        </w:rPr>
        <w:t>ex ante</w:t>
      </w:r>
      <w:r w:rsidRPr="004B6CD8">
        <w:rPr>
          <w:noProof/>
          <w:lang w:val="en-GB"/>
        </w:rPr>
        <w:t xml:space="preserve"> project management controls for the ‘certified correct’ endorsement have been sufficient, and the documentation of the project management activities in </w:t>
      </w:r>
      <w:r w:rsidR="00874CE6" w:rsidRPr="004B6CD8">
        <w:rPr>
          <w:noProof/>
          <w:lang w:val="en-GB"/>
        </w:rPr>
        <w:t>system for grant management (</w:t>
      </w:r>
      <w:r w:rsidRPr="004B6CD8">
        <w:rPr>
          <w:noProof/>
          <w:lang w:val="en-GB"/>
        </w:rPr>
        <w:t>SyGMa</w:t>
      </w:r>
      <w:r w:rsidR="00874CE6" w:rsidRPr="004B6CD8">
        <w:rPr>
          <w:noProof/>
          <w:lang w:val="en-GB"/>
        </w:rPr>
        <w:t>)</w:t>
      </w:r>
      <w:r w:rsidRPr="004B6CD8">
        <w:rPr>
          <w:noProof/>
          <w:lang w:val="en-GB"/>
        </w:rPr>
        <w:t>/COMPASS is adequate.</w:t>
      </w:r>
    </w:p>
    <w:p w14:paraId="4F9C43D6" w14:textId="77777777" w:rsidR="003C18C9" w:rsidRPr="004B6CD8" w:rsidRDefault="003C18C9" w:rsidP="003C18C9">
      <w:pPr>
        <w:rPr>
          <w:rFonts w:cs="Times New Roman"/>
          <w:i/>
          <w:iCs/>
          <w:noProof/>
          <w:color w:val="003399" w:themeColor="text2"/>
          <w:lang w:val="en-GB"/>
        </w:rPr>
      </w:pPr>
      <w:r w:rsidRPr="004B6CD8">
        <w:rPr>
          <w:rFonts w:cs="Times New Roman"/>
          <w:i/>
          <w:iCs/>
          <w:noProof/>
          <w:color w:val="003399" w:themeColor="text2"/>
          <w:lang w:val="en-GB"/>
        </w:rPr>
        <w:t>Has the payment process for the European Defence Fund grants been effectively implemented and does it ensure compliance with the legal provisions?</w:t>
      </w:r>
    </w:p>
    <w:p w14:paraId="396230BE" w14:textId="281640D5" w:rsidR="00081853" w:rsidRDefault="003C18C9" w:rsidP="003C18C9">
      <w:pPr>
        <w:rPr>
          <w:noProof/>
          <w:lang w:val="en-GB"/>
        </w:rPr>
      </w:pPr>
      <w:r w:rsidRPr="004B6CD8">
        <w:rPr>
          <w:noProof/>
          <w:lang w:val="en-GB"/>
        </w:rPr>
        <w:t xml:space="preserve">The payment process for the European Defence Fund grants has been effectively implemented and in compliance with the legal provisions as: (a) the </w:t>
      </w:r>
      <w:r w:rsidRPr="008A53FC">
        <w:rPr>
          <w:i/>
          <w:iCs/>
          <w:noProof/>
          <w:lang w:val="en-GB"/>
        </w:rPr>
        <w:t>ex ante</w:t>
      </w:r>
      <w:r w:rsidRPr="004B6CD8">
        <w:rPr>
          <w:noProof/>
          <w:lang w:val="en-GB"/>
        </w:rPr>
        <w:t xml:space="preserve"> financial controls on the periodic financial reporting for supporting the 'certified correct' endorsement have been sufficient; and (b) the approval workflow has been effective and efficient, both of which ensure compliance with the legal provisions.</w:t>
      </w:r>
    </w:p>
    <w:p w14:paraId="78C1E3F2" w14:textId="77777777" w:rsidR="00081853" w:rsidRDefault="00081853">
      <w:pPr>
        <w:spacing w:before="0" w:after="160"/>
        <w:rPr>
          <w:noProof/>
          <w:lang w:val="en-GB"/>
        </w:rPr>
      </w:pPr>
      <w:r>
        <w:rPr>
          <w:noProof/>
          <w:lang w:val="en-GB"/>
        </w:rPr>
        <w:br w:type="page"/>
      </w:r>
    </w:p>
    <w:p w14:paraId="7F0B3474" w14:textId="77777777" w:rsidR="003C18C9" w:rsidRPr="004B6CD8" w:rsidRDefault="003C18C9" w:rsidP="003C18C9">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6BE84DAF" w14:textId="77777777" w:rsidR="003C18C9" w:rsidRPr="004B6CD8" w:rsidRDefault="003C18C9" w:rsidP="003C18C9">
      <w:pPr>
        <w:rPr>
          <w:noProof/>
          <w:lang w:val="en-GB"/>
        </w:rPr>
      </w:pPr>
      <w:r w:rsidRPr="004B6CD8">
        <w:rPr>
          <w:noProof/>
          <w:lang w:val="en-GB"/>
        </w:rPr>
        <w:t xml:space="preserve">The IAS concluded that DG DEFIS has put in place adequate governance, risk management and internal control systems to ensure effective and efficient project management of the European Defence Fund grants and </w:t>
      </w:r>
      <w:r w:rsidRPr="008A53FC">
        <w:rPr>
          <w:i/>
          <w:iCs/>
          <w:noProof/>
          <w:lang w:val="en-GB"/>
        </w:rPr>
        <w:t>ex ante</w:t>
      </w:r>
      <w:r w:rsidRPr="004B6CD8">
        <w:rPr>
          <w:noProof/>
          <w:lang w:val="en-GB"/>
        </w:rPr>
        <w:t xml:space="preserve"> financial controls on their interim payments, in compliance with applicable rules.</w:t>
      </w:r>
    </w:p>
    <w:p w14:paraId="5EDDB4F5" w14:textId="0646CF95"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77BA86CF" w14:textId="75C22932" w:rsidR="003C18C9" w:rsidRPr="004B6CD8" w:rsidRDefault="003C18C9" w:rsidP="003C18C9">
      <w:pPr>
        <w:rPr>
          <w:noProof/>
          <w:lang w:val="en-GB"/>
        </w:rPr>
      </w:pPr>
      <w:r w:rsidRPr="004B6CD8">
        <w:rPr>
          <w:noProof/>
          <w:lang w:val="en-GB"/>
        </w:rPr>
        <w:t xml:space="preserve">The </w:t>
      </w:r>
      <w:r w:rsidRPr="008A53FC">
        <w:rPr>
          <w:rStyle w:val="BoldAccent1"/>
          <w:noProof/>
          <w:color w:val="003399" w:themeColor="text2"/>
        </w:rPr>
        <w:t>IAS</w:t>
      </w:r>
      <w:r w:rsidRPr="008A53FC">
        <w:rPr>
          <w:noProof/>
          <w:color w:val="003399" w:themeColor="text2"/>
          <w:lang w:val="en-GB"/>
        </w:rPr>
        <w:t xml:space="preserve"> </w:t>
      </w:r>
      <w:r w:rsidRPr="004B6CD8">
        <w:rPr>
          <w:noProof/>
          <w:lang w:val="en-GB"/>
        </w:rPr>
        <w:t>did not formulate any recommendations.</w:t>
      </w:r>
    </w:p>
    <w:p w14:paraId="770F9BEE" w14:textId="49EBD90C" w:rsidR="0057062A" w:rsidRPr="004B6CD8" w:rsidRDefault="00D83857" w:rsidP="00D74BE0">
      <w:pPr>
        <w:pStyle w:val="amprH3Title2-Numbered-11"/>
        <w:numPr>
          <w:ilvl w:val="1"/>
          <w:numId w:val="51"/>
        </w:numPr>
        <w:rPr>
          <w:noProof/>
        </w:rPr>
      </w:pPr>
      <w:bookmarkStart w:id="26" w:name="_Toc131535733"/>
      <w:bookmarkStart w:id="27" w:name="_Toc134793987"/>
      <w:bookmarkStart w:id="28" w:name="_Toc134804260"/>
      <w:bookmarkStart w:id="29" w:name="_Toc196835183"/>
      <w:bookmarkStart w:id="30" w:name="_Toc231235425"/>
      <w:r w:rsidRPr="004B6CD8">
        <w:rPr>
          <w:noProof/>
        </w:rPr>
        <w:t>Early implementation of grants in the short-term defence instrume</w:t>
      </w:r>
      <w:bookmarkEnd w:id="26"/>
      <w:bookmarkEnd w:id="27"/>
      <w:bookmarkEnd w:id="28"/>
      <w:bookmarkEnd w:id="29"/>
      <w:r w:rsidRPr="004B6CD8">
        <w:rPr>
          <w:noProof/>
        </w:rPr>
        <w:t>nts</w:t>
      </w:r>
      <w:r w:rsidR="006B2854">
        <w:rPr>
          <w:noProof/>
        </w:rPr>
        <w:t xml:space="preserve"> (DG DEFIS)</w:t>
      </w:r>
      <w:bookmarkEnd w:id="30"/>
    </w:p>
    <w:p w14:paraId="5F90AA1B" w14:textId="77777777" w:rsidR="00485839" w:rsidRPr="004B6CD8" w:rsidRDefault="00485839" w:rsidP="00485839">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objective of the audit was to assess the adequacy of design and effective implementation of DG DEFIS control system for the first phases of the management of the grants under </w:t>
      </w:r>
      <w:r w:rsidR="00874CE6" w:rsidRPr="004B6CD8">
        <w:rPr>
          <w:rFonts w:eastAsia="Calibri" w:cs="Times New Roman"/>
          <w:noProof/>
          <w:kern w:val="0"/>
          <w:lang w:val="en-GB"/>
          <w14:ligatures w14:val="none"/>
        </w:rPr>
        <w:t xml:space="preserve">the </w:t>
      </w:r>
      <w:bookmarkStart w:id="31" w:name="_Hlk228807577"/>
      <w:r w:rsidR="00874CE6" w:rsidRPr="004B6CD8">
        <w:rPr>
          <w:rFonts w:eastAsia="Calibri" w:cs="Times New Roman"/>
          <w:noProof/>
          <w:kern w:val="0"/>
          <w:lang w:val="en-GB"/>
          <w14:ligatures w14:val="none"/>
        </w:rPr>
        <w:t xml:space="preserve">European defence industry Reinforcement through common Procurement Act </w:t>
      </w:r>
      <w:bookmarkEnd w:id="31"/>
      <w:r w:rsidR="00874CE6" w:rsidRPr="004B6CD8">
        <w:rPr>
          <w:rFonts w:eastAsia="Calibri" w:cs="Times New Roman"/>
          <w:noProof/>
          <w:kern w:val="0"/>
          <w:lang w:val="en-GB"/>
          <w14:ligatures w14:val="none"/>
        </w:rPr>
        <w:t>(</w:t>
      </w:r>
      <w:r w:rsidRPr="004B6CD8">
        <w:rPr>
          <w:rFonts w:eastAsia="Calibri" w:cs="Times New Roman"/>
          <w:noProof/>
          <w:kern w:val="0"/>
          <w:lang w:val="en-GB"/>
          <w14:ligatures w14:val="none"/>
        </w:rPr>
        <w:t>EDIRPA</w:t>
      </w:r>
      <w:r w:rsidR="00874CE6" w:rsidRPr="004B6CD8">
        <w:rPr>
          <w:rFonts w:eastAsia="Calibri" w:cs="Times New Roman"/>
          <w:noProof/>
          <w:kern w:val="0"/>
          <w:lang w:val="en-GB"/>
          <w14:ligatures w14:val="none"/>
        </w:rPr>
        <w:t>)</w:t>
      </w:r>
      <w:r w:rsidRPr="004B6CD8">
        <w:rPr>
          <w:rFonts w:eastAsia="Calibri" w:cs="Times New Roman"/>
          <w:noProof/>
          <w:kern w:val="0"/>
          <w:lang w:val="en-GB"/>
          <w14:ligatures w14:val="none"/>
        </w:rPr>
        <w:t xml:space="preserve"> and </w:t>
      </w:r>
      <w:r w:rsidR="00874CE6" w:rsidRPr="004B6CD8">
        <w:rPr>
          <w:rFonts w:eastAsia="Calibri" w:cs="Times New Roman"/>
          <w:noProof/>
          <w:kern w:val="0"/>
          <w:lang w:val="en-GB"/>
          <w14:ligatures w14:val="none"/>
        </w:rPr>
        <w:t xml:space="preserve">the </w:t>
      </w:r>
      <w:bookmarkStart w:id="32" w:name="_Hlk228807592"/>
      <w:r w:rsidR="00874CE6" w:rsidRPr="004B6CD8">
        <w:rPr>
          <w:rFonts w:eastAsia="Calibri" w:cs="Times New Roman"/>
          <w:noProof/>
          <w:kern w:val="0"/>
          <w:lang w:val="en-GB"/>
          <w14:ligatures w14:val="none"/>
        </w:rPr>
        <w:t>act in support of ammunition production</w:t>
      </w:r>
      <w:bookmarkEnd w:id="32"/>
      <w:r w:rsidR="00874CE6" w:rsidRPr="004B6CD8">
        <w:rPr>
          <w:rFonts w:eastAsia="Calibri" w:cs="Times New Roman"/>
          <w:noProof/>
          <w:kern w:val="0"/>
          <w:lang w:val="en-GB"/>
          <w14:ligatures w14:val="none"/>
        </w:rPr>
        <w:t xml:space="preserve"> (</w:t>
      </w:r>
      <w:r w:rsidRPr="004B6CD8">
        <w:rPr>
          <w:rFonts w:eastAsia="Calibri" w:cs="Times New Roman"/>
          <w:noProof/>
          <w:kern w:val="0"/>
          <w:lang w:val="en-GB"/>
          <w14:ligatures w14:val="none"/>
        </w:rPr>
        <w:t>ASAP</w:t>
      </w:r>
      <w:r w:rsidR="00874CE6" w:rsidRPr="004B6CD8">
        <w:rPr>
          <w:rFonts w:eastAsia="Calibri" w:cs="Times New Roman"/>
          <w:noProof/>
          <w:kern w:val="0"/>
          <w:lang w:val="en-GB"/>
          <w14:ligatures w14:val="none"/>
        </w:rPr>
        <w:t>)</w:t>
      </w:r>
      <w:r w:rsidRPr="004B6CD8">
        <w:rPr>
          <w:rFonts w:eastAsia="Calibri" w:cs="Times New Roman"/>
          <w:noProof/>
          <w:kern w:val="0"/>
          <w:lang w:val="en-GB"/>
          <w14:ligatures w14:val="none"/>
        </w:rPr>
        <w:t xml:space="preserve"> to effectively support the achievement of the objectives of the two instruments through the preparation of the work programmes.</w:t>
      </w:r>
    </w:p>
    <w:p w14:paraId="4BDAA566" w14:textId="77777777" w:rsidR="00485839" w:rsidRPr="004B6CD8" w:rsidRDefault="00485839" w:rsidP="00485839">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1E0820DC" w14:textId="77777777" w:rsidR="00485839" w:rsidRPr="004B6CD8" w:rsidRDefault="00485839" w:rsidP="00485839">
      <w:pPr>
        <w:jc w:val="both"/>
        <w:rPr>
          <w:rFonts w:cs="Times New Roman"/>
          <w:i/>
          <w:iCs/>
          <w:noProof/>
          <w:color w:val="003399" w:themeColor="text2"/>
          <w:lang w:val="en-GB"/>
        </w:rPr>
      </w:pPr>
      <w:r w:rsidRPr="004B6CD8">
        <w:rPr>
          <w:rFonts w:cs="Times New Roman"/>
          <w:i/>
          <w:iCs/>
          <w:noProof/>
          <w:color w:val="003399" w:themeColor="text2"/>
          <w:lang w:val="en-GB"/>
        </w:rPr>
        <w:t>Are the controls for the preparation, and implementation of the annual work programme and for the drafting and publication of calls for proposals for EDIRPA and ASAP adequately designed and effectively implemented?</w:t>
      </w:r>
    </w:p>
    <w:p w14:paraId="38E1537E" w14:textId="26AFACA8" w:rsidR="00485839" w:rsidRPr="004B6CD8" w:rsidRDefault="00485839" w:rsidP="00485839">
      <w:pPr>
        <w:jc w:val="both"/>
        <w:rPr>
          <w:rFonts w:eastAsia="Calibri" w:cs="Times New Roman"/>
          <w:noProof/>
          <w:kern w:val="0"/>
          <w:lang w:val="en-GB"/>
          <w14:ligatures w14:val="none"/>
        </w:rPr>
      </w:pPr>
      <w:r w:rsidRPr="004B6CD8">
        <w:rPr>
          <w:rFonts w:eastAsia="Calibri" w:cs="Times New Roman"/>
          <w:noProof/>
          <w:kern w:val="0"/>
          <w:lang w:val="en-GB"/>
          <w14:ligatures w14:val="none"/>
        </w:rPr>
        <w:t>The process for the preparation, and implementation of the annual work programme and for the drafting and publication of calls for proposals for EDIRPA and ASAP is overall effective and in accordance with the applicable legal provisions. However, the audit identified some shortcomings as regards the demonstration by potential EDIRPA beneficiaries specifically how the Union contribution is (notably if retroactive) necessary to offset obstacles in common procurement during the duration of the grant action.</w:t>
      </w:r>
    </w:p>
    <w:p w14:paraId="374CCBC3" w14:textId="77777777" w:rsidR="00485839" w:rsidRPr="004B6CD8" w:rsidRDefault="00485839" w:rsidP="00485839">
      <w:pPr>
        <w:jc w:val="both"/>
        <w:rPr>
          <w:rFonts w:cs="Times New Roman"/>
          <w:i/>
          <w:iCs/>
          <w:noProof/>
          <w:color w:val="003399" w:themeColor="text2"/>
          <w:lang w:val="en-GB"/>
        </w:rPr>
      </w:pPr>
      <w:r w:rsidRPr="004B6CD8">
        <w:rPr>
          <w:rFonts w:cs="Times New Roman"/>
          <w:i/>
          <w:iCs/>
          <w:noProof/>
          <w:color w:val="003399" w:themeColor="text2"/>
          <w:lang w:val="en-GB"/>
        </w:rPr>
        <w:t>Are the controls for the evaluation, ranking and selection of proposals for EDIRPA and ASAP adequately designed and effectively implemented?</w:t>
      </w:r>
    </w:p>
    <w:p w14:paraId="1831BA27" w14:textId="77777777" w:rsidR="00485839" w:rsidRPr="004B6CD8" w:rsidRDefault="00485839" w:rsidP="00485839">
      <w:pPr>
        <w:jc w:val="both"/>
        <w:rPr>
          <w:rFonts w:eastAsia="Calibri" w:cs="Times New Roman"/>
          <w:noProof/>
          <w:kern w:val="0"/>
          <w:lang w:val="en-GB"/>
          <w14:ligatures w14:val="none"/>
        </w:rPr>
      </w:pPr>
      <w:r w:rsidRPr="004B6CD8">
        <w:rPr>
          <w:rFonts w:eastAsia="Calibri" w:cs="Times New Roman"/>
          <w:noProof/>
          <w:kern w:val="0"/>
          <w:lang w:val="en-GB"/>
          <w14:ligatures w14:val="none"/>
        </w:rPr>
        <w:t>DG DEFIS has designed and implemented a control system for evaluating, ranking and selecting the proposals that is adapted to the respective specificities of EDIRPA and ASAP and is in line with applicable rules. The control system includes specific guidance, structures and templates/checklists that supported the evaluation, ranking and selection of proposals process.</w:t>
      </w:r>
    </w:p>
    <w:p w14:paraId="46BF3A7E" w14:textId="77777777" w:rsidR="00485839" w:rsidRPr="004B6CD8" w:rsidRDefault="00485839" w:rsidP="00485839">
      <w:pPr>
        <w:jc w:val="both"/>
        <w:rPr>
          <w:rFonts w:cs="Times New Roman"/>
          <w:i/>
          <w:iCs/>
          <w:noProof/>
          <w:color w:val="003399" w:themeColor="text2"/>
          <w:lang w:val="en-GB"/>
        </w:rPr>
      </w:pPr>
      <w:r w:rsidRPr="004B6CD8">
        <w:rPr>
          <w:rFonts w:cs="Times New Roman"/>
          <w:i/>
          <w:iCs/>
          <w:noProof/>
          <w:color w:val="003399" w:themeColor="text2"/>
          <w:lang w:val="en-GB"/>
        </w:rPr>
        <w:t>Are the controls for the preparation and approval of the grant agreements adequately designed and effectively implemented?</w:t>
      </w:r>
    </w:p>
    <w:p w14:paraId="3133C2D3" w14:textId="77777777" w:rsidR="00485839" w:rsidRPr="004B6CD8" w:rsidRDefault="00485839" w:rsidP="00485839">
      <w:pPr>
        <w:jc w:val="both"/>
        <w:rPr>
          <w:rFonts w:eastAsia="Calibri" w:cs="Times New Roman"/>
          <w:noProof/>
          <w:kern w:val="0"/>
          <w:lang w:val="en-GB"/>
          <w14:ligatures w14:val="none"/>
        </w:rPr>
      </w:pPr>
      <w:r w:rsidRPr="004B6CD8">
        <w:rPr>
          <w:rFonts w:eastAsia="Calibri" w:cs="Times New Roman"/>
          <w:noProof/>
          <w:kern w:val="0"/>
          <w:lang w:val="en-GB"/>
          <w14:ligatures w14:val="none"/>
        </w:rPr>
        <w:t>The DG DEFIS process for the preparation and approval of the grant agreements adequately supports the effective translation of retained proposals into grant agreements and controls in place ensure compliance with the applicable legal provisions.</w:t>
      </w:r>
    </w:p>
    <w:p w14:paraId="29C5E455" w14:textId="77777777" w:rsidR="00485839" w:rsidRPr="004B6CD8" w:rsidRDefault="00485839" w:rsidP="00485839">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27D555E4" w14:textId="77777777" w:rsidR="00485839" w:rsidRPr="004B6CD8" w:rsidRDefault="00485839" w:rsidP="00485839">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the control system that DG DEFIS has put in place for the early implementation of grants in the short-term defence instruments for ASAP and EDIRPA was overall adequately designed and implemented in accordance with the applicable rules.</w:t>
      </w:r>
    </w:p>
    <w:p w14:paraId="7A73FCA2" w14:textId="41148116"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4C77E225" w14:textId="1A52395C" w:rsidR="008A1FBB" w:rsidRPr="004B6CD8" w:rsidRDefault="00485839" w:rsidP="00485839">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w:t>
      </w:r>
      <w:r w:rsidRPr="008A53FC">
        <w:rPr>
          <w:rStyle w:val="BoldAccent1"/>
          <w:noProof/>
          <w:color w:val="003399" w:themeColor="text2"/>
        </w:rPr>
        <w:t xml:space="preserve">IAS </w:t>
      </w:r>
      <w:r w:rsidRPr="004B6CD8">
        <w:rPr>
          <w:rFonts w:eastAsia="Calibri" w:cs="Times New Roman"/>
          <w:noProof/>
          <w:kern w:val="0"/>
          <w:lang w:val="en-GB"/>
          <w14:ligatures w14:val="none"/>
        </w:rPr>
        <w:t>did not formulate any critical or very important recommendations.</w:t>
      </w:r>
    </w:p>
    <w:p w14:paraId="17820CB2" w14:textId="77777777" w:rsidR="0057062A" w:rsidRPr="004B6CD8" w:rsidRDefault="0057062A" w:rsidP="0057062A">
      <w:pPr>
        <w:spacing w:before="60" w:after="60"/>
        <w:ind w:left="720"/>
        <w:rPr>
          <w:rFonts w:eastAsia="Calibri" w:cs="Times New Roman"/>
          <w:noProof/>
          <w:kern w:val="0"/>
          <w:sz w:val="2"/>
          <w:szCs w:val="2"/>
          <w:lang w:val="en-GB"/>
          <w14:ligatures w14:val="none"/>
        </w:rPr>
      </w:pPr>
    </w:p>
    <w:p w14:paraId="125D23EB" w14:textId="6F0E2C9D" w:rsidR="0057062A" w:rsidRPr="004B6CD8" w:rsidRDefault="00E43D42" w:rsidP="00D74BE0">
      <w:pPr>
        <w:pStyle w:val="amprH3Title2-Numbered-11"/>
        <w:numPr>
          <w:ilvl w:val="1"/>
          <w:numId w:val="51"/>
        </w:numPr>
        <w:rPr>
          <w:noProof/>
        </w:rPr>
      </w:pPr>
      <w:bookmarkStart w:id="33" w:name="_Toc231235426"/>
      <w:r w:rsidRPr="004B6CD8">
        <w:rPr>
          <w:noProof/>
        </w:rPr>
        <w:t xml:space="preserve">Simplification measures in cohesion funding in the 2021-2027 programming period </w:t>
      </w:r>
      <w:r w:rsidR="006B2854">
        <w:rPr>
          <w:noProof/>
        </w:rPr>
        <w:t>(DG REGIO, DG EMPL)</w:t>
      </w:r>
      <w:bookmarkEnd w:id="33"/>
    </w:p>
    <w:p w14:paraId="6164712C" w14:textId="6A55757D" w:rsidR="00E43D42" w:rsidRPr="004B6CD8" w:rsidRDefault="00E43D42" w:rsidP="00E43D42">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objective of the audit was to assess if DG REGIO and DG EMPL have designed and implemented adequate and effective internal control processes for the capacity building, the </w:t>
      </w:r>
      <w:r w:rsidRPr="008A53FC">
        <w:rPr>
          <w:rFonts w:eastAsia="Calibri" w:cs="Times New Roman"/>
          <w:i/>
          <w:iCs/>
          <w:noProof/>
          <w:kern w:val="0"/>
          <w:lang w:val="en-GB"/>
          <w14:ligatures w14:val="none"/>
        </w:rPr>
        <w:t>ex ante</w:t>
      </w:r>
      <w:r w:rsidRPr="004B6CD8">
        <w:rPr>
          <w:rFonts w:eastAsia="Calibri" w:cs="Times New Roman"/>
          <w:noProof/>
          <w:kern w:val="0"/>
          <w:lang w:val="en-GB"/>
          <w14:ligatures w14:val="none"/>
        </w:rPr>
        <w:t xml:space="preserve"> assessment and the monitoring of the simplified cost options and financing not linked to costs which serve the intended objective of enhancing simplification in the implementation of the Cohesion Policy funds in the 2021-2027 programming period.</w:t>
      </w:r>
    </w:p>
    <w:p w14:paraId="65568AA9" w14:textId="77777777" w:rsidR="00E43D42" w:rsidRPr="004B6CD8" w:rsidRDefault="00E43D42" w:rsidP="00E43D42">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441261E4" w14:textId="07F8E677" w:rsidR="00E43D42" w:rsidRPr="004B6CD8" w:rsidRDefault="00E43D42" w:rsidP="00E43D42">
      <w:pPr>
        <w:jc w:val="both"/>
        <w:rPr>
          <w:rFonts w:cs="Times New Roman"/>
          <w:i/>
          <w:iCs/>
          <w:noProof/>
          <w:color w:val="003399" w:themeColor="text2"/>
          <w:lang w:val="en-GB"/>
        </w:rPr>
      </w:pPr>
      <w:r w:rsidRPr="004B6CD8">
        <w:rPr>
          <w:rFonts w:cs="Times New Roman"/>
          <w:i/>
          <w:iCs/>
          <w:noProof/>
          <w:color w:val="003399" w:themeColor="text2"/>
          <w:lang w:val="en-GB"/>
        </w:rPr>
        <w:t>Are the processes of capacity building, ex ante assessment and monitoring of simplified cost options simplified cost options and financing not linked to costs in the programming period 2021-2027 adequately designed?</w:t>
      </w:r>
    </w:p>
    <w:p w14:paraId="10424245" w14:textId="66693606" w:rsidR="00E43D42" w:rsidRPr="004B6CD8" w:rsidRDefault="00E43D42" w:rsidP="00E43D42">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including the joint audit Directorate for Cohesion, have made significant efforts to establish internal networks, communities of best practice and mechanisms to build and maintain staff capacity to use simplified cost options and financing not linked to costs. However, the established networks lack a formal mandate which limits their full potential to operate for achieving (strategic) objectives. The training on simplified cost options and financing not linked to costs is not always tailored to the specific roles and needs, and it needs to be complemented by practical examples and lessons learned. Finally, there is a concentration and dependence on one contractor which provides expertise to the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on simplification and results-based approaches. Moreover, this contractor is also potentially in a situation of professional conflicting interests considering its involvement in different contracts. Such situations have not been identified and further assessed by the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and they have not taken any specific mitigating measures to manage the related risks.</w:t>
      </w:r>
    </w:p>
    <w:p w14:paraId="58F50DC2" w14:textId="77777777" w:rsidR="00E43D42" w:rsidRPr="004B6CD8" w:rsidRDefault="00E43D42" w:rsidP="00E43D42">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In the area of </w:t>
      </w:r>
      <w:r w:rsidRPr="00412EFF">
        <w:rPr>
          <w:rFonts w:eastAsia="Calibri" w:cs="Times New Roman"/>
          <w:i/>
          <w:iCs/>
          <w:noProof/>
          <w:kern w:val="0"/>
          <w:lang w:val="en-GB"/>
          <w14:ligatures w14:val="none"/>
        </w:rPr>
        <w:t>ex ante</w:t>
      </w:r>
      <w:r w:rsidRPr="004B6CD8">
        <w:rPr>
          <w:rFonts w:eastAsia="Calibri" w:cs="Times New Roman"/>
          <w:noProof/>
          <w:kern w:val="0"/>
          <w:lang w:val="en-GB"/>
          <w14:ligatures w14:val="none"/>
        </w:rPr>
        <w:t xml:space="preserve"> assessment, overall, internal procedures, guidance and checklists were adequately designed. However, some specific guidance was lacking on the process for the assessment of adjustment methods of simplified cost options, on the documentation of the informal phase of programming and on the roles and responsibilities for the assessment of financing not linked to costs.</w:t>
      </w:r>
    </w:p>
    <w:p w14:paraId="4C1DAA43" w14:textId="39B9562F" w:rsidR="00E43D42" w:rsidRPr="004B6CD8" w:rsidRDefault="009F256C" w:rsidP="00E43D42">
      <w:pPr>
        <w:jc w:val="both"/>
        <w:rPr>
          <w:rFonts w:eastAsia="Calibri" w:cs="Times New Roman"/>
          <w:noProof/>
          <w:kern w:val="0"/>
          <w:lang w:val="en-GB"/>
          <w14:ligatures w14:val="none"/>
        </w:rPr>
      </w:pPr>
      <w:r w:rsidRPr="004B6CD8">
        <w:rPr>
          <w:rFonts w:eastAsia="Calibri" w:cs="Times New Roman"/>
          <w:noProof/>
          <w:kern w:val="0"/>
          <w:lang w:val="en-GB"/>
          <w14:ligatures w14:val="none"/>
        </w:rPr>
        <w:t>The Shared Fund Management</w:t>
      </w:r>
      <w:r w:rsidR="003E0FE7" w:rsidRPr="004B6CD8">
        <w:rPr>
          <w:rFonts w:eastAsia="Calibri" w:cs="Times New Roman"/>
          <w:noProof/>
          <w:kern w:val="0"/>
          <w:lang w:val="en-GB"/>
          <w14:ligatures w14:val="none"/>
        </w:rPr>
        <w:t xml:space="preserve"> in the European Union</w:t>
      </w:r>
      <w:r w:rsidRPr="004B6CD8">
        <w:rPr>
          <w:rFonts w:eastAsia="Calibri" w:cs="Times New Roman"/>
          <w:noProof/>
          <w:kern w:val="0"/>
          <w:lang w:val="en-GB"/>
          <w14:ligatures w14:val="none"/>
        </w:rPr>
        <w:t xml:space="preserve"> period 2021-2027 (</w:t>
      </w:r>
      <w:r w:rsidR="00E43D42" w:rsidRPr="004B6CD8">
        <w:rPr>
          <w:rFonts w:eastAsia="Calibri" w:cs="Times New Roman"/>
          <w:noProof/>
          <w:kern w:val="0"/>
          <w:lang w:val="en-GB"/>
          <w14:ligatures w14:val="none"/>
        </w:rPr>
        <w:t>SFC2021</w:t>
      </w:r>
      <w:r w:rsidRPr="004B6CD8">
        <w:rPr>
          <w:rFonts w:eastAsia="Calibri" w:cs="Times New Roman"/>
          <w:noProof/>
          <w:kern w:val="0"/>
          <w:lang w:val="en-GB"/>
          <w14:ligatures w14:val="none"/>
        </w:rPr>
        <w:t>)</w:t>
      </w:r>
      <w:r w:rsidR="00E43D42" w:rsidRPr="004B6CD8">
        <w:rPr>
          <w:rFonts w:eastAsia="Calibri" w:cs="Times New Roman"/>
          <w:noProof/>
          <w:kern w:val="0"/>
          <w:lang w:val="en-GB"/>
          <w14:ligatures w14:val="none"/>
        </w:rPr>
        <w:t xml:space="preserve"> access controls, the related Launchpad reports and other monitoring tools were not adequately designed to meet business needs for either control and effective monitoring and reporting on simplified cost options and financing not linked to costs</w:t>
      </w:r>
    </w:p>
    <w:p w14:paraId="29199D90" w14:textId="77777777" w:rsidR="00E43D42" w:rsidRPr="004B6CD8" w:rsidRDefault="00E43D42" w:rsidP="00E43D42">
      <w:pPr>
        <w:jc w:val="both"/>
        <w:rPr>
          <w:rFonts w:cs="Times New Roman"/>
          <w:i/>
          <w:iCs/>
          <w:noProof/>
          <w:color w:val="003399" w:themeColor="text2"/>
          <w:lang w:val="en-GB"/>
        </w:rPr>
      </w:pPr>
      <w:r w:rsidRPr="004B6CD8">
        <w:rPr>
          <w:rFonts w:cs="Times New Roman"/>
          <w:i/>
          <w:iCs/>
          <w:noProof/>
          <w:color w:val="003399" w:themeColor="text2"/>
          <w:lang w:val="en-GB"/>
        </w:rPr>
        <w:t xml:space="preserve">Are the processes of capacity building, ex ante assessment and monitoring of simplified cost options and financing not linked to costs adequately, effectively and timely implemented? </w:t>
      </w:r>
    </w:p>
    <w:p w14:paraId="56BE7341" w14:textId="0D9B0DB7" w:rsidR="00E43D42" w:rsidRPr="004B6CD8" w:rsidRDefault="00E43D42" w:rsidP="00E43D42">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capacity building initiatives reflect a positive effort to encourage knowledge-sharing and collaboration. However, the auditors could not verify how the members of the various simplification enablers shared their acquired knowledge with the relevant staff in the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for effective use.</w:t>
      </w:r>
    </w:p>
    <w:p w14:paraId="63586B90" w14:textId="77777777" w:rsidR="00E43D42" w:rsidRPr="004B6CD8" w:rsidRDefault="00E43D42" w:rsidP="00E43D42">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As regards </w:t>
      </w:r>
      <w:r w:rsidRPr="00412EFF">
        <w:rPr>
          <w:rFonts w:eastAsia="Calibri" w:cs="Times New Roman"/>
          <w:i/>
          <w:iCs/>
          <w:noProof/>
          <w:kern w:val="0"/>
          <w:lang w:val="en-GB"/>
          <w14:ligatures w14:val="none"/>
        </w:rPr>
        <w:t>ex ante</w:t>
      </w:r>
      <w:r w:rsidRPr="004B6CD8">
        <w:rPr>
          <w:rFonts w:eastAsia="Calibri" w:cs="Times New Roman"/>
          <w:noProof/>
          <w:kern w:val="0"/>
          <w:lang w:val="en-GB"/>
          <w14:ligatures w14:val="none"/>
        </w:rPr>
        <w:t xml:space="preserve"> assessment, internal procedures were not always implemented consistently in practice. These concern the documentation of the informal phase, the availability of the audit authority’s assessments for simplified cost options and the final documents for simplified cost options and financing not linked to costs and financing not linked to costs to run internal and inter-service consultations, the assessment of simplified cost options by desk officers and the assessment of simplified cost options and financing not linked to costs by the auditors.</w:t>
      </w:r>
    </w:p>
    <w:p w14:paraId="5223632E" w14:textId="65468EEB" w:rsidR="00081853" w:rsidRDefault="00E43D42" w:rsidP="00E43D42">
      <w:pPr>
        <w:jc w:val="both"/>
        <w:rPr>
          <w:rFonts w:eastAsia="Calibri" w:cs="Times New Roman"/>
          <w:noProof/>
          <w:kern w:val="0"/>
          <w:lang w:val="en-GB"/>
          <w14:ligatures w14:val="none"/>
        </w:rPr>
      </w:pPr>
      <w:r w:rsidRPr="004B6CD8">
        <w:rPr>
          <w:rFonts w:eastAsia="Calibri" w:cs="Times New Roman"/>
          <w:noProof/>
          <w:kern w:val="0"/>
          <w:lang w:val="en-GB"/>
          <w14:ligatures w14:val="none"/>
        </w:rPr>
        <w:t>While some practical tools were put in place for monitoring and reporting on simplified cost options and financing not linked to costs, they are not always reliable as they require manual interventions and lack a system of version control of data.</w:t>
      </w:r>
    </w:p>
    <w:p w14:paraId="5EE5AF27" w14:textId="77777777" w:rsidR="00081853" w:rsidRDefault="00081853">
      <w:pPr>
        <w:spacing w:before="0" w:after="160"/>
        <w:rPr>
          <w:rFonts w:eastAsia="Calibri" w:cs="Times New Roman"/>
          <w:noProof/>
          <w:kern w:val="0"/>
          <w:lang w:val="en-GB"/>
          <w14:ligatures w14:val="none"/>
        </w:rPr>
      </w:pPr>
      <w:r>
        <w:rPr>
          <w:rFonts w:eastAsia="Calibri" w:cs="Times New Roman"/>
          <w:noProof/>
          <w:kern w:val="0"/>
          <w:lang w:val="en-GB"/>
          <w14:ligatures w14:val="none"/>
        </w:rPr>
        <w:br w:type="page"/>
      </w:r>
    </w:p>
    <w:p w14:paraId="32A0BCD2" w14:textId="77777777" w:rsidR="00E43D42" w:rsidRPr="004B6CD8" w:rsidRDefault="00E43D42" w:rsidP="00E43D42">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5B788759" w14:textId="72AE17C1" w:rsidR="00E43D42" w:rsidRPr="004B6CD8" w:rsidRDefault="00E43D42" w:rsidP="00E43D42">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IAS concluded that DG REGIO and DG EMPL have designed and implemented adequate and effective internal control processes for the capacity building, </w:t>
      </w:r>
      <w:r w:rsidRPr="00412EFF">
        <w:rPr>
          <w:rFonts w:eastAsia="Calibri" w:cs="Times New Roman"/>
          <w:i/>
          <w:iCs/>
          <w:noProof/>
          <w:kern w:val="0"/>
          <w:lang w:val="en-GB"/>
          <w14:ligatures w14:val="none"/>
        </w:rPr>
        <w:t>ex ante</w:t>
      </w:r>
      <w:r w:rsidRPr="004B6CD8">
        <w:rPr>
          <w:rFonts w:eastAsia="Calibri" w:cs="Times New Roman"/>
          <w:noProof/>
          <w:kern w:val="0"/>
          <w:lang w:val="en-GB"/>
          <w14:ligatures w14:val="none"/>
        </w:rPr>
        <w:t xml:space="preserve"> assessment and monitoring and reporting on simplified cost options and financing not linked to costs to enhance simplification in the implementation of the cohesion policy funds in the 2021-2027 programming period, except for three very important issues concerning: (a) the </w:t>
      </w:r>
      <w:r w:rsidRPr="008A53FC">
        <w:rPr>
          <w:rFonts w:eastAsia="Calibri" w:cs="Times New Roman"/>
          <w:i/>
          <w:iCs/>
          <w:noProof/>
          <w:kern w:val="0"/>
          <w:lang w:val="en-GB"/>
          <w14:ligatures w14:val="none"/>
        </w:rPr>
        <w:t>ex ante</w:t>
      </w:r>
      <w:r w:rsidRPr="004B6CD8">
        <w:rPr>
          <w:rFonts w:eastAsia="Calibri" w:cs="Times New Roman"/>
          <w:noProof/>
          <w:kern w:val="0"/>
          <w:lang w:val="en-GB"/>
          <w14:ligatures w14:val="none"/>
        </w:rPr>
        <w:t xml:space="preserve"> assessment of simplified cost options and financing not linked to costs; (b) capacity building and procurement of services around such simplification measures; and (c) the monitoring and reporting on simplified cost options and financing not linked to costs.</w:t>
      </w:r>
    </w:p>
    <w:p w14:paraId="4EAFC6B1" w14:textId="2A6FF853"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6438E776" w14:textId="24964406" w:rsidR="00E43D42" w:rsidRPr="00874637" w:rsidRDefault="00D05CC3" w:rsidP="66263CC9">
      <w:pPr>
        <w:jc w:val="both"/>
        <w:rPr>
          <w:rFonts w:eastAsia="Calibri" w:cs="Times New Roman"/>
          <w:noProof/>
          <w:lang w:val="en-IE"/>
        </w:rPr>
      </w:pPr>
      <w:r w:rsidRPr="00874637">
        <w:rPr>
          <w:noProof/>
          <w:lang w:val="en-IE"/>
        </w:rPr>
        <w:t>Recommendations No 1 and 2, o</w:t>
      </w:r>
      <w:r w:rsidR="00E43D42" w:rsidRPr="00874637">
        <w:rPr>
          <w:noProof/>
          <w:lang w:val="en-IE"/>
        </w:rPr>
        <w:t xml:space="preserve">n </w:t>
      </w:r>
      <w:r w:rsidR="00E43D42" w:rsidRPr="00874637">
        <w:rPr>
          <w:rStyle w:val="BoldAccent1"/>
          <w:noProof/>
          <w:color w:val="003399" w:themeColor="text2"/>
          <w:lang w:val="en-IE"/>
        </w:rPr>
        <w:t xml:space="preserve">the </w:t>
      </w:r>
      <w:r w:rsidR="00E43D42" w:rsidRPr="00874637">
        <w:rPr>
          <w:rStyle w:val="BoldAccent1"/>
          <w:i/>
          <w:iCs/>
          <w:noProof/>
          <w:color w:val="003399" w:themeColor="text2"/>
          <w:lang w:val="en-IE"/>
        </w:rPr>
        <w:t>ex ante</w:t>
      </w:r>
      <w:r w:rsidR="00E43D42" w:rsidRPr="00874637">
        <w:rPr>
          <w:rStyle w:val="BoldAccent1"/>
          <w:noProof/>
          <w:color w:val="003399" w:themeColor="text2"/>
          <w:lang w:val="en-IE"/>
        </w:rPr>
        <w:t xml:space="preserve"> assessment of simplified cost options and financing not linked to costs,</w:t>
      </w:r>
      <w:r w:rsidR="00E43D42" w:rsidRPr="00874637">
        <w:rPr>
          <w:noProof/>
          <w:color w:val="003399" w:themeColor="text2"/>
          <w:lang w:val="en-IE"/>
        </w:rPr>
        <w:t xml:space="preserve"> </w:t>
      </w:r>
      <w:r w:rsidR="00E43D42" w:rsidRPr="00874637">
        <w:rPr>
          <w:rStyle w:val="BoldAccent1"/>
          <w:noProof/>
          <w:color w:val="003399" w:themeColor="text2"/>
          <w:lang w:val="en-IE"/>
        </w:rPr>
        <w:t>DG REGIO</w:t>
      </w:r>
      <w:r w:rsidR="00E43D42" w:rsidRPr="00874637">
        <w:rPr>
          <w:noProof/>
          <w:color w:val="003399" w:themeColor="text2"/>
          <w:lang w:val="en-IE"/>
        </w:rPr>
        <w:t xml:space="preserve"> </w:t>
      </w:r>
      <w:r w:rsidR="00E43D42" w:rsidRPr="00874637">
        <w:rPr>
          <w:noProof/>
          <w:lang w:val="en-IE"/>
        </w:rPr>
        <w:t xml:space="preserve">and </w:t>
      </w:r>
      <w:r w:rsidR="00E43D42" w:rsidRPr="00874637">
        <w:rPr>
          <w:rStyle w:val="BoldAccent1"/>
          <w:noProof/>
          <w:color w:val="003399" w:themeColor="text2"/>
          <w:lang w:val="en-IE"/>
        </w:rPr>
        <w:t>DG EMPL</w:t>
      </w:r>
      <w:r w:rsidR="00E43D42" w:rsidRPr="00874637">
        <w:rPr>
          <w:noProof/>
          <w:color w:val="003399" w:themeColor="text2"/>
          <w:lang w:val="en-IE"/>
        </w:rPr>
        <w:t xml:space="preserve"> </w:t>
      </w:r>
      <w:r w:rsidR="00E43D42" w:rsidRPr="00874637">
        <w:rPr>
          <w:noProof/>
          <w:lang w:val="en-IE"/>
        </w:rPr>
        <w:t>should</w:t>
      </w:r>
      <w:r w:rsidRPr="00874637">
        <w:rPr>
          <w:noProof/>
          <w:lang w:val="en-IE"/>
        </w:rPr>
        <w:t>:</w:t>
      </w:r>
    </w:p>
    <w:p w14:paraId="26F6DB59" w14:textId="536F4F64" w:rsidR="00E43D42" w:rsidRPr="004B6CD8" w:rsidRDefault="00E43D42" w:rsidP="00B77298">
      <w:pPr>
        <w:pStyle w:val="amprLISTtealbullets-L1"/>
        <w:rPr>
          <w:rFonts w:eastAsia="Calibri" w:cs="Times New Roman"/>
          <w:noProof/>
        </w:rPr>
      </w:pPr>
      <w:r w:rsidRPr="004B6CD8">
        <w:rPr>
          <w:rFonts w:eastAsia="Calibri" w:cs="Times New Roman"/>
          <w:noProof/>
        </w:rPr>
        <w:t xml:space="preserve">improve guidance, documentation and </w:t>
      </w:r>
      <w:r w:rsidRPr="008A53FC">
        <w:rPr>
          <w:rFonts w:eastAsia="Calibri" w:cs="Times New Roman"/>
          <w:i/>
          <w:iCs/>
          <w:noProof/>
        </w:rPr>
        <w:t>ex ante</w:t>
      </w:r>
      <w:r w:rsidRPr="004B6CD8">
        <w:rPr>
          <w:rFonts w:eastAsia="Calibri" w:cs="Times New Roman"/>
          <w:noProof/>
        </w:rPr>
        <w:t xml:space="preserve"> assessments of simplified cost options and financing not linked to costs.</w:t>
      </w:r>
    </w:p>
    <w:p w14:paraId="7B4DBA16" w14:textId="33BC52AD" w:rsidR="00E43D42" w:rsidRPr="004B6CD8" w:rsidRDefault="00D05CC3" w:rsidP="008A53FC">
      <w:pPr>
        <w:pStyle w:val="amprLISTtealbullets-L1"/>
        <w:numPr>
          <w:ilvl w:val="0"/>
          <w:numId w:val="0"/>
        </w:numPr>
        <w:spacing w:before="240" w:after="240"/>
        <w:rPr>
          <w:rFonts w:eastAsia="Calibri" w:cs="Times New Roman"/>
          <w:noProof/>
        </w:rPr>
      </w:pPr>
      <w:r w:rsidRPr="00D05CC3">
        <w:rPr>
          <w:rFonts w:eastAsia="Calibri" w:cs="Times New Roman"/>
          <w:noProof/>
        </w:rPr>
        <w:t>Recommendations No 3 and 4</w:t>
      </w:r>
      <w:r>
        <w:rPr>
          <w:rFonts w:eastAsia="Calibri" w:cs="Times New Roman"/>
          <w:noProof/>
        </w:rPr>
        <w:t>, o</w:t>
      </w:r>
      <w:r w:rsidR="00E43D42" w:rsidRPr="004B6CD8">
        <w:rPr>
          <w:rFonts w:eastAsia="Calibri" w:cs="Times New Roman"/>
          <w:noProof/>
        </w:rPr>
        <w:t xml:space="preserve">n </w:t>
      </w:r>
      <w:r>
        <w:rPr>
          <w:rFonts w:eastAsia="Calibri" w:cs="Times New Roman"/>
          <w:noProof/>
        </w:rPr>
        <w:t xml:space="preserve">the </w:t>
      </w:r>
      <w:r w:rsidR="00E43D42" w:rsidRPr="008A53FC">
        <w:rPr>
          <w:rStyle w:val="BoldAccent1"/>
          <w:rFonts w:eastAsiaTheme="minorHAnsi" w:cstheme="minorBidi"/>
          <w:noProof/>
          <w:color w:val="003399" w:themeColor="text2"/>
          <w:kern w:val="2"/>
          <w:szCs w:val="22"/>
          <w:lang w:eastAsia="en-US"/>
          <w14:ligatures w14:val="standardContextual"/>
        </w:rPr>
        <w:t>capacity building and procurement of services for simplified cost options and financing not linked to costs,</w:t>
      </w:r>
      <w:r w:rsidR="00E43D42" w:rsidRPr="008A53FC">
        <w:rPr>
          <w:rStyle w:val="BoldAccent1"/>
          <w:rFonts w:eastAsia="Calibri"/>
          <w:noProof/>
          <w:color w:val="auto"/>
        </w:rPr>
        <w:t xml:space="preserve"> </w:t>
      </w:r>
      <w:r w:rsidR="00E43D42" w:rsidRPr="008A53FC">
        <w:rPr>
          <w:rStyle w:val="BoldAccent1"/>
          <w:rFonts w:eastAsia="Calibri"/>
          <w:noProof/>
          <w:color w:val="003399" w:themeColor="text2"/>
        </w:rPr>
        <w:t>DG REGIO</w:t>
      </w:r>
      <w:r w:rsidR="00E43D42" w:rsidRPr="004B6CD8">
        <w:rPr>
          <w:rFonts w:eastAsia="Calibri" w:cs="Times New Roman"/>
          <w:noProof/>
        </w:rPr>
        <w:t xml:space="preserve"> and </w:t>
      </w:r>
      <w:r w:rsidR="00E43D42" w:rsidRPr="008A53FC">
        <w:rPr>
          <w:rStyle w:val="BoldAccent1"/>
          <w:rFonts w:eastAsia="Calibri"/>
          <w:noProof/>
          <w:color w:val="003399" w:themeColor="text2"/>
        </w:rPr>
        <w:t>DG EMPL</w:t>
      </w:r>
      <w:r w:rsidR="00E43D42" w:rsidRPr="008A53FC">
        <w:rPr>
          <w:rFonts w:eastAsia="Calibri" w:cs="Times New Roman"/>
          <w:noProof/>
          <w:color w:val="003399" w:themeColor="text2"/>
        </w:rPr>
        <w:t xml:space="preserve"> </w:t>
      </w:r>
      <w:r w:rsidR="00E43D42" w:rsidRPr="004B6CD8">
        <w:rPr>
          <w:rFonts w:eastAsia="Calibri" w:cs="Times New Roman"/>
          <w:noProof/>
        </w:rPr>
        <w:t>should:</w:t>
      </w:r>
    </w:p>
    <w:p w14:paraId="73A4652A" w14:textId="554A4AF3" w:rsidR="00E43D42" w:rsidRPr="004B6CD8" w:rsidRDefault="00E43D42" w:rsidP="00B77298">
      <w:pPr>
        <w:pStyle w:val="amprLISTtealbullets-L1"/>
        <w:rPr>
          <w:rFonts w:eastAsia="Calibri" w:cs="Times New Roman"/>
          <w:noProof/>
        </w:rPr>
      </w:pPr>
      <w:r w:rsidRPr="004B6CD8">
        <w:rPr>
          <w:rFonts w:eastAsia="Calibri" w:cs="Times New Roman"/>
          <w:noProof/>
        </w:rPr>
        <w:t>enhance training on simplified cost options and financing not linked to costs, and monitor risks of concentration/dependency on external experts and their potential professional conflicting interests</w:t>
      </w:r>
      <w:r w:rsidR="000B7A81" w:rsidRPr="004B6CD8">
        <w:rPr>
          <w:rFonts w:eastAsia="Calibri" w:cs="Times New Roman"/>
          <w:noProof/>
        </w:rPr>
        <w:t>.</w:t>
      </w:r>
    </w:p>
    <w:p w14:paraId="4EEE132C" w14:textId="0EC84475" w:rsidR="00E43D42" w:rsidRPr="004B6CD8" w:rsidRDefault="00D05CC3" w:rsidP="008A53FC">
      <w:pPr>
        <w:pStyle w:val="amprLISTtealbullets-L1"/>
        <w:numPr>
          <w:ilvl w:val="0"/>
          <w:numId w:val="0"/>
        </w:numPr>
        <w:spacing w:before="240" w:after="240"/>
        <w:rPr>
          <w:rFonts w:eastAsia="Calibri" w:cs="Times New Roman"/>
          <w:noProof/>
        </w:rPr>
      </w:pPr>
      <w:r w:rsidRPr="00D05CC3">
        <w:rPr>
          <w:rFonts w:eastAsia="Calibri" w:cs="Times New Roman"/>
          <w:noProof/>
        </w:rPr>
        <w:t>Recommendations No 5 and 6</w:t>
      </w:r>
      <w:r>
        <w:rPr>
          <w:rFonts w:eastAsia="Calibri" w:cs="Times New Roman"/>
          <w:noProof/>
        </w:rPr>
        <w:t>, o</w:t>
      </w:r>
      <w:r w:rsidRPr="004B6CD8">
        <w:rPr>
          <w:rFonts w:eastAsia="Calibri" w:cs="Times New Roman"/>
          <w:noProof/>
        </w:rPr>
        <w:t xml:space="preserve">n </w:t>
      </w:r>
      <w:r>
        <w:rPr>
          <w:rFonts w:eastAsia="Calibri" w:cs="Times New Roman"/>
          <w:noProof/>
        </w:rPr>
        <w:t xml:space="preserve">the </w:t>
      </w:r>
      <w:r w:rsidRPr="008A53FC">
        <w:rPr>
          <w:rStyle w:val="BoldAccent1"/>
          <w:rFonts w:eastAsiaTheme="minorHAnsi" w:cstheme="minorBidi"/>
          <w:noProof/>
          <w:color w:val="003399" w:themeColor="text2"/>
          <w:kern w:val="2"/>
          <w:szCs w:val="22"/>
          <w:lang w:eastAsia="en-US"/>
          <w14:ligatures w14:val="standardContextual"/>
        </w:rPr>
        <w:t>m</w:t>
      </w:r>
      <w:r w:rsidR="00E43D42" w:rsidRPr="008A53FC">
        <w:rPr>
          <w:rStyle w:val="BoldAccent1"/>
          <w:rFonts w:eastAsiaTheme="minorHAnsi" w:cstheme="minorBidi"/>
          <w:noProof/>
          <w:color w:val="003399" w:themeColor="text2"/>
          <w:kern w:val="2"/>
          <w:szCs w:val="22"/>
          <w:lang w:eastAsia="en-US"/>
          <w14:ligatures w14:val="standardContextual"/>
        </w:rPr>
        <w:t>onitoring and reporting on simplified cost options and financing not linked to costs,</w:t>
      </w:r>
      <w:r w:rsidR="00E43D42" w:rsidRPr="008A53FC">
        <w:rPr>
          <w:rStyle w:val="BoldAccent1"/>
          <w:rFonts w:eastAsia="Calibri"/>
          <w:noProof/>
          <w:color w:val="auto"/>
        </w:rPr>
        <w:t xml:space="preserve"> </w:t>
      </w:r>
      <w:r w:rsidR="00E43D42" w:rsidRPr="008A53FC">
        <w:rPr>
          <w:rStyle w:val="BoldAccent1"/>
          <w:rFonts w:eastAsia="Calibri"/>
          <w:noProof/>
          <w:color w:val="003399" w:themeColor="text2"/>
        </w:rPr>
        <w:t>DG REGIO</w:t>
      </w:r>
      <w:r w:rsidR="00E43D42" w:rsidRPr="004B6CD8">
        <w:rPr>
          <w:rFonts w:eastAsia="Calibri" w:cs="Times New Roman"/>
          <w:noProof/>
        </w:rPr>
        <w:t xml:space="preserve"> and </w:t>
      </w:r>
      <w:r w:rsidR="00E43D42" w:rsidRPr="008A53FC">
        <w:rPr>
          <w:rStyle w:val="BoldAccent1"/>
          <w:rFonts w:eastAsia="Calibri"/>
          <w:noProof/>
          <w:color w:val="003399" w:themeColor="text2"/>
        </w:rPr>
        <w:t>DG EMPL</w:t>
      </w:r>
      <w:r w:rsidR="00E43D42" w:rsidRPr="008A53FC">
        <w:rPr>
          <w:rFonts w:eastAsia="Calibri" w:cs="Times New Roman"/>
          <w:noProof/>
          <w:color w:val="003399" w:themeColor="text2"/>
        </w:rPr>
        <w:t xml:space="preserve"> </w:t>
      </w:r>
      <w:r w:rsidR="00E43D42" w:rsidRPr="004B6CD8">
        <w:rPr>
          <w:rFonts w:eastAsia="Calibri" w:cs="Times New Roman"/>
          <w:noProof/>
        </w:rPr>
        <w:t>should</w:t>
      </w:r>
      <w:r>
        <w:rPr>
          <w:rFonts w:eastAsia="Calibri" w:cs="Times New Roman"/>
          <w:noProof/>
        </w:rPr>
        <w:t>:</w:t>
      </w:r>
    </w:p>
    <w:p w14:paraId="52994B45" w14:textId="67720502" w:rsidR="00B77298" w:rsidRPr="004B6CD8" w:rsidRDefault="00E43D42" w:rsidP="008A53FC">
      <w:pPr>
        <w:pStyle w:val="amprLISTtealbullets-L1"/>
        <w:spacing w:after="240"/>
        <w:ind w:left="782" w:hanging="357"/>
        <w:rPr>
          <w:rFonts w:eastAsia="Calibri" w:cs="Times New Roman"/>
          <w:noProof/>
        </w:rPr>
      </w:pPr>
      <w:r w:rsidRPr="004B6CD8">
        <w:rPr>
          <w:rFonts w:eastAsia="Calibri" w:cs="Times New Roman"/>
          <w:noProof/>
        </w:rPr>
        <w:t>manage access rights and improve monitoring and reporting tools on simplified cost options and financing not linked to costs.</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6A3E5E" w:rsidRPr="007F05B2" w14:paraId="2EC6C341" w14:textId="77777777" w:rsidTr="001E48C2">
        <w:tc>
          <w:tcPr>
            <w:tcW w:w="9057" w:type="dxa"/>
          </w:tcPr>
          <w:p w14:paraId="6A1C2B55" w14:textId="2AD65994" w:rsidR="00EA1623" w:rsidRPr="004B6CD8" w:rsidRDefault="00EA1623" w:rsidP="001E48C2">
            <w:pPr>
              <w:pStyle w:val="boldblue"/>
            </w:pPr>
            <w:r w:rsidRPr="004B6CD8">
              <w:t>Additional information provided by DG</w:t>
            </w:r>
            <w:r w:rsidR="0041793D" w:rsidRPr="004B6CD8">
              <w:t xml:space="preserve"> REGIO</w:t>
            </w:r>
            <w:r w:rsidR="00E43D42" w:rsidRPr="004B6CD8">
              <w:t xml:space="preserve"> a</w:t>
            </w:r>
            <w:r w:rsidRPr="004B6CD8">
              <w:t xml:space="preserve">nd DG </w:t>
            </w:r>
            <w:r w:rsidR="0041793D" w:rsidRPr="004B6CD8">
              <w:t>EMPL</w:t>
            </w:r>
            <w:r w:rsidRPr="004B6CD8">
              <w:t xml:space="preserve"> on the </w:t>
            </w:r>
            <w:r w:rsidR="00E43D42" w:rsidRPr="004B6CD8">
              <w:t xml:space="preserve">implemented </w:t>
            </w:r>
            <w:r w:rsidRPr="004B6CD8">
              <w:t>measures</w:t>
            </w:r>
          </w:p>
          <w:p w14:paraId="40559876" w14:textId="343E880A" w:rsidR="006A3E5E" w:rsidRPr="004B6CD8" w:rsidRDefault="00B74B38">
            <w:pPr>
              <w:jc w:val="both"/>
              <w:rPr>
                <w:noProof/>
              </w:rPr>
            </w:pPr>
            <w:r>
              <w:rPr>
                <w:noProof/>
              </w:rPr>
              <w:t>DG REGIO and DG EMPL</w:t>
            </w:r>
            <w:r w:rsidR="00C91759" w:rsidRPr="004B6CD8">
              <w:rPr>
                <w:noProof/>
              </w:rPr>
              <w:t xml:space="preserve"> established </w:t>
            </w:r>
            <w:r w:rsidR="0057366A">
              <w:rPr>
                <w:noProof/>
              </w:rPr>
              <w:t xml:space="preserve">an </w:t>
            </w:r>
            <w:r w:rsidR="0057366A" w:rsidRPr="004B6CD8">
              <w:rPr>
                <w:noProof/>
              </w:rPr>
              <w:t>action plan</w:t>
            </w:r>
            <w:r w:rsidR="0057366A">
              <w:rPr>
                <w:noProof/>
              </w:rPr>
              <w:t xml:space="preserve"> </w:t>
            </w:r>
            <w:r w:rsidR="00C91759" w:rsidRPr="004B6CD8">
              <w:rPr>
                <w:noProof/>
              </w:rPr>
              <w:t>to address all audit findings</w:t>
            </w:r>
            <w:r w:rsidR="00D05CC3">
              <w:rPr>
                <w:noProof/>
              </w:rPr>
              <w:t>,</w:t>
            </w:r>
            <w:r w:rsidR="00C91759" w:rsidRPr="004B6CD8">
              <w:rPr>
                <w:noProof/>
              </w:rPr>
              <w:t xml:space="preserve"> </w:t>
            </w:r>
            <w:r w:rsidR="008C7F1A">
              <w:rPr>
                <w:noProof/>
              </w:rPr>
              <w:t xml:space="preserve">which was </w:t>
            </w:r>
            <w:r w:rsidR="00C91759" w:rsidRPr="004B6CD8">
              <w:rPr>
                <w:noProof/>
              </w:rPr>
              <w:t xml:space="preserve">considered satisfactory by the IAS. The </w:t>
            </w:r>
            <w:r w:rsidR="0003593D">
              <w:rPr>
                <w:noProof/>
              </w:rPr>
              <w:t xml:space="preserve">implementation of the </w:t>
            </w:r>
            <w:r w:rsidR="00C91759" w:rsidRPr="004B6CD8">
              <w:rPr>
                <w:noProof/>
              </w:rPr>
              <w:t xml:space="preserve">recommendations </w:t>
            </w:r>
            <w:r w:rsidR="0003593D">
              <w:rPr>
                <w:noProof/>
              </w:rPr>
              <w:t xml:space="preserve">is </w:t>
            </w:r>
            <w:r w:rsidR="0057366A">
              <w:rPr>
                <w:noProof/>
              </w:rPr>
              <w:t xml:space="preserve">on track </w:t>
            </w:r>
            <w:r w:rsidR="00E73557">
              <w:rPr>
                <w:noProof/>
              </w:rPr>
              <w:t>to meet</w:t>
            </w:r>
            <w:r w:rsidR="00C91759" w:rsidRPr="004B6CD8">
              <w:rPr>
                <w:noProof/>
              </w:rPr>
              <w:t xml:space="preserve"> the deadlines set out in the action plan (all deadlines are in 2026).</w:t>
            </w:r>
          </w:p>
        </w:tc>
      </w:tr>
    </w:tbl>
    <w:p w14:paraId="0CB9080E" w14:textId="58AC4873" w:rsidR="0057062A" w:rsidRPr="004B6CD8" w:rsidRDefault="00E55846" w:rsidP="00D74BE0">
      <w:pPr>
        <w:pStyle w:val="amprH3Title2-Numbered-11"/>
        <w:numPr>
          <w:ilvl w:val="1"/>
          <w:numId w:val="51"/>
        </w:numPr>
        <w:rPr>
          <w:noProof/>
        </w:rPr>
      </w:pPr>
      <w:bookmarkStart w:id="34" w:name="_Toc231235427"/>
      <w:r w:rsidRPr="004B6CD8">
        <w:rPr>
          <w:noProof/>
        </w:rPr>
        <w:t>Horizon Europe – European Innovation Council grant agreements preparation and award procedures</w:t>
      </w:r>
      <w:r w:rsidR="00883D7A">
        <w:rPr>
          <w:noProof/>
        </w:rPr>
        <w:t xml:space="preserve"> (DG RTD, EISMEA)</w:t>
      </w:r>
      <w:bookmarkEnd w:id="34"/>
    </w:p>
    <w:p w14:paraId="39159030" w14:textId="381A06B3" w:rsidR="00E55846" w:rsidRPr="004B6CD8" w:rsidRDefault="00E55846" w:rsidP="00E55846">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whether EISMEA and DG RTD designed and implemented adequate, effective and efficient internal control processes for the grant agreements preparation and award procedures under the European Innovation Council (EIC) programme, ensuring compliance with the applicable rules.</w:t>
      </w:r>
    </w:p>
    <w:p w14:paraId="0B495C8E" w14:textId="77777777" w:rsidR="00E55846" w:rsidRPr="004B6CD8" w:rsidRDefault="00E55846" w:rsidP="00E55846">
      <w:pPr>
        <w:jc w:val="both"/>
        <w:rPr>
          <w:rFonts w:cs="Times New Roman"/>
          <w:b/>
          <w:bCs/>
          <w:noProof/>
          <w:color w:val="003399" w:themeColor="text2"/>
          <w:u w:val="single"/>
          <w:lang w:val="en-GB"/>
        </w:rPr>
      </w:pPr>
      <w:bookmarkStart w:id="35" w:name="_Hlk227940804"/>
      <w:r w:rsidRPr="004B6CD8">
        <w:rPr>
          <w:rFonts w:cs="Times New Roman"/>
          <w:b/>
          <w:bCs/>
          <w:noProof/>
          <w:color w:val="003399" w:themeColor="text2"/>
          <w:u w:val="single"/>
          <w:lang w:val="en-GB"/>
        </w:rPr>
        <w:t>Audit results</w:t>
      </w:r>
    </w:p>
    <w:bookmarkEnd w:id="35"/>
    <w:p w14:paraId="18706245" w14:textId="77777777" w:rsidR="00E55846" w:rsidRPr="004B6CD8" w:rsidRDefault="00E55846" w:rsidP="00E55846">
      <w:pPr>
        <w:jc w:val="both"/>
        <w:rPr>
          <w:rFonts w:cs="Times New Roman"/>
          <w:i/>
          <w:iCs/>
          <w:noProof/>
          <w:color w:val="003399" w:themeColor="text2"/>
          <w:lang w:val="en-GB"/>
        </w:rPr>
      </w:pPr>
      <w:r w:rsidRPr="004B6CD8">
        <w:rPr>
          <w:rFonts w:cs="Times New Roman"/>
          <w:i/>
          <w:iCs/>
          <w:noProof/>
          <w:color w:val="003399" w:themeColor="text2"/>
          <w:lang w:val="en-GB"/>
        </w:rPr>
        <w:t>Is the specific control environment of the grant agreements preparation and coordination between the grant and investment component including the award, procedure adequately designed within EISMEA and DG RTD to address the specificities of the EIC in compliance with applicable rules?</w:t>
      </w:r>
    </w:p>
    <w:p w14:paraId="2A76AAC3" w14:textId="77777777" w:rsidR="00E55846" w:rsidRPr="004B6CD8" w:rsidRDefault="00E55846" w:rsidP="00E55846">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EISMEA, with the support of DG RTD, has defined a specific control environment for the preparation of the EIC grant agreements (including the award decisions) and for the coordination between the grant and investment components built on corporate guidance, procedures and IT systems and complemented by manual of procedures, checklists and instructions specific to the EIC. </w:t>
      </w:r>
    </w:p>
    <w:p w14:paraId="2581CF70" w14:textId="77777777" w:rsidR="00E55846" w:rsidRPr="004B6CD8" w:rsidRDefault="00E55846" w:rsidP="00E55846">
      <w:pPr>
        <w:jc w:val="both"/>
        <w:rPr>
          <w:rFonts w:eastAsia="Calibri" w:cs="Times New Roman"/>
          <w:noProof/>
          <w:kern w:val="0"/>
          <w:lang w:val="en-GB"/>
          <w14:ligatures w14:val="none"/>
        </w:rPr>
      </w:pPr>
      <w:r w:rsidRPr="004B6CD8">
        <w:rPr>
          <w:rFonts w:eastAsia="Calibri" w:cs="Times New Roman"/>
          <w:noProof/>
          <w:kern w:val="0"/>
          <w:lang w:val="en-GB"/>
          <w14:ligatures w14:val="none"/>
        </w:rPr>
        <w:t>However, this control environment is not adequately designed and not complete, hence failing to effectively integrate the specificities of the EIC programme and to provide a robust framework for ensuring compliance with applicable rules. Among the missing elements, the IAS observed the lack of procedures framing the implementation of the parallel preparation of the single award decisions and the grant agreement preparation to avoid that award decisions are adopted without completing necessary checks. Additionally, there is no harmonisation of the economic security measures between grant and investment components.</w:t>
      </w:r>
    </w:p>
    <w:p w14:paraId="7FFFB1EF" w14:textId="77777777" w:rsidR="00E55846" w:rsidRPr="004B6CD8" w:rsidRDefault="00E55846" w:rsidP="00E55846">
      <w:pPr>
        <w:jc w:val="both"/>
        <w:rPr>
          <w:rFonts w:eastAsia="Calibri" w:cs="Times New Roman"/>
          <w:noProof/>
          <w:kern w:val="0"/>
          <w:lang w:val="en-GB"/>
          <w14:ligatures w14:val="none"/>
        </w:rPr>
      </w:pPr>
      <w:r w:rsidRPr="004B6CD8">
        <w:rPr>
          <w:rFonts w:eastAsia="Calibri" w:cs="Times New Roman"/>
          <w:noProof/>
          <w:kern w:val="0"/>
          <w:lang w:val="en-GB"/>
          <w14:ligatures w14:val="none"/>
        </w:rPr>
        <w:t>The existing guidance is also not complete as regards specific measures for mitigating risks associated with beneficiaries who have weak financial capacity and criteria for assessing retroactive start date requests, funding holding companies, monitoring the investment budget under the EIC Accelerator, operational checklists for amending award decisions.</w:t>
      </w:r>
    </w:p>
    <w:p w14:paraId="0F5A0B26" w14:textId="77777777" w:rsidR="00E55846" w:rsidRPr="004B6CD8" w:rsidRDefault="00E55846" w:rsidP="00E55846">
      <w:pPr>
        <w:jc w:val="both"/>
        <w:rPr>
          <w:rFonts w:cs="Times New Roman"/>
          <w:i/>
          <w:iCs/>
          <w:noProof/>
          <w:color w:val="003399" w:themeColor="text2"/>
          <w:lang w:val="en-GB"/>
        </w:rPr>
      </w:pPr>
      <w:r w:rsidRPr="004B6CD8">
        <w:rPr>
          <w:rFonts w:cs="Times New Roman"/>
          <w:i/>
          <w:iCs/>
          <w:noProof/>
          <w:color w:val="003399" w:themeColor="text2"/>
          <w:lang w:val="en-GB"/>
        </w:rPr>
        <w:t>Have the retained project proposals been effectively and efficiently translated into legally binding grant agreements?</w:t>
      </w:r>
    </w:p>
    <w:p w14:paraId="0C6A64E2" w14:textId="77777777" w:rsidR="00E55846" w:rsidRPr="004B6CD8" w:rsidRDefault="00E55846" w:rsidP="00E55846">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retained project proposals have been effectively translated into legally binding grant agreements, however the IAS identified inefficiencies and lapses in the implementation of some controls and processes that needs to be implemented during the grant agreement preparation phase for both the EIC Acceleration and the EIC Transition grants. Specifically, EISMEA did not conduct: (a) effective financial capacity assessment checks for EIC Accelerator grants until June 2023 (and even then, the checks were not consistently effective); and (b) systematic financial capacity checks for EIC Transition grants. EISMEA accepted and signed 55% of the EIC Accelerator grant agreements with a retroactive start date even though corporate guidance states that such instances should be exceptional. Moreover, no criteria were established to justify the use of retroactive start date. It also failed to verify sufficiently the applicants' specific legal statuses as small and medium-size enterprises and middle-capitalisation enterprises. Lastly, the time-to-grant results for the EIC Accelerator were inaccurately reported and misrepresented in the 2024 Annual Activity Report. </w:t>
      </w:r>
    </w:p>
    <w:p w14:paraId="68ACEECB" w14:textId="77777777" w:rsidR="00E55846" w:rsidRPr="004B6CD8" w:rsidRDefault="00E55846" w:rsidP="00E55846">
      <w:pPr>
        <w:jc w:val="both"/>
        <w:rPr>
          <w:rFonts w:cs="Times New Roman"/>
          <w:i/>
          <w:iCs/>
          <w:noProof/>
          <w:color w:val="003399" w:themeColor="text2"/>
          <w:lang w:val="en-GB"/>
        </w:rPr>
      </w:pPr>
      <w:r w:rsidRPr="004B6CD8">
        <w:rPr>
          <w:rFonts w:cs="Times New Roman"/>
          <w:i/>
          <w:iCs/>
          <w:noProof/>
          <w:color w:val="003399" w:themeColor="text2"/>
          <w:lang w:val="en-GB"/>
        </w:rPr>
        <w:t>Are the processes and controls for the preparation and adoption of the award decision and single award decision (including the amending decisions) effectively and efficiently implemented, in compliance with the regulatory framework?</w:t>
      </w:r>
    </w:p>
    <w:p w14:paraId="4D51C088" w14:textId="77777777" w:rsidR="00E55846" w:rsidRPr="004B6CD8" w:rsidRDefault="00E55846" w:rsidP="00E55846">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controls for preparing and adopting award decisions, single award decision and amending decisions, were not always effectively and efficiently implemented in compliance with the regulatory framework. Single award decisions were adopted before completing grant agreement preparation checks and in a number of cases, they related to projects that did not meet eligibility criteria. Additionally, one amending award decision in a holding company was made without performing </w:t>
      </w:r>
      <w:r w:rsidRPr="00412EFF">
        <w:rPr>
          <w:rFonts w:eastAsia="Calibri" w:cs="Times New Roman"/>
          <w:i/>
          <w:iCs/>
          <w:noProof/>
          <w:kern w:val="0"/>
          <w:lang w:val="en-GB"/>
          <w14:ligatures w14:val="none"/>
        </w:rPr>
        <w:t>ex ante</w:t>
      </w:r>
      <w:r w:rsidRPr="004B6CD8">
        <w:rPr>
          <w:rFonts w:eastAsia="Calibri" w:cs="Times New Roman"/>
          <w:noProof/>
          <w:kern w:val="0"/>
          <w:lang w:val="en-GB"/>
          <w14:ligatures w14:val="none"/>
        </w:rPr>
        <w:t xml:space="preserve"> eligibility checks. Finally, award decisions with maximum indicative investment amounts exceeding the available budget by EUR 1.31 billion (+58%) were also adopted. In terms of efficiency, substantial delays were noted in the time-to-grant key performance indicator for the EIC Accelerator scheme that exceeded the target despite performing grant agreement preparation and award procedures simultaneously.</w:t>
      </w:r>
    </w:p>
    <w:p w14:paraId="5453F2A1" w14:textId="77777777" w:rsidR="00E55846" w:rsidRPr="004B6CD8" w:rsidRDefault="00E55846" w:rsidP="00E55846">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338FE06F" w14:textId="5266E526" w:rsidR="00081853" w:rsidRDefault="00E55846" w:rsidP="00E55846">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EISMEA and DG RTD did not adequately design and implement the internal control processes for the grant agreements preparation and award procedures specific to the European Innovation Council Accelerator scheme, resulting in cases of non-compliance with the applicable rules, while EISMEA partially effectively and efficiently implemented the internal control process for the European Innovation Council Transition and Pathfinder schemes.</w:t>
      </w:r>
    </w:p>
    <w:p w14:paraId="5071B8E6" w14:textId="77777777" w:rsidR="00081853" w:rsidRDefault="00081853">
      <w:pPr>
        <w:spacing w:before="0" w:after="160"/>
        <w:rPr>
          <w:rFonts w:eastAsia="Calibri" w:cs="Times New Roman"/>
          <w:noProof/>
          <w:kern w:val="0"/>
          <w:lang w:val="en-GB"/>
          <w14:ligatures w14:val="none"/>
        </w:rPr>
      </w:pPr>
      <w:r>
        <w:rPr>
          <w:rFonts w:eastAsia="Calibri" w:cs="Times New Roman"/>
          <w:noProof/>
          <w:kern w:val="0"/>
          <w:lang w:val="en-GB"/>
          <w14:ligatures w14:val="none"/>
        </w:rPr>
        <w:br w:type="page"/>
      </w:r>
    </w:p>
    <w:p w14:paraId="4866473F" w14:textId="584754DF"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16A33674" w14:textId="438FDE0E" w:rsidR="00E55846" w:rsidRPr="00874637" w:rsidRDefault="00132805" w:rsidP="66263CC9">
      <w:pPr>
        <w:rPr>
          <w:noProof/>
          <w:lang w:val="en-IE"/>
        </w:rPr>
      </w:pPr>
      <w:r w:rsidRPr="00874637">
        <w:rPr>
          <w:noProof/>
          <w:lang w:val="en-IE"/>
        </w:rPr>
        <w:t>Recommendation No 1, o</w:t>
      </w:r>
      <w:r w:rsidR="00E55846" w:rsidRPr="00874637">
        <w:rPr>
          <w:noProof/>
          <w:lang w:val="en-IE"/>
        </w:rPr>
        <w:t xml:space="preserve">n the </w:t>
      </w:r>
      <w:r w:rsidR="00E55846" w:rsidRPr="00874637">
        <w:rPr>
          <w:rStyle w:val="BoldAccent1"/>
          <w:noProof/>
          <w:color w:val="003399" w:themeColor="text2"/>
          <w:lang w:val="en-IE"/>
        </w:rPr>
        <w:t xml:space="preserve">EIC grant agreement preparation phase, EISMEA </w:t>
      </w:r>
      <w:r w:rsidR="00E55846" w:rsidRPr="00874637">
        <w:rPr>
          <w:noProof/>
          <w:lang w:val="en-IE"/>
        </w:rPr>
        <w:t>should</w:t>
      </w:r>
      <w:r w:rsidR="00915A2D" w:rsidRPr="00874637">
        <w:rPr>
          <w:noProof/>
          <w:lang w:val="en-IE"/>
        </w:rPr>
        <w:t>:</w:t>
      </w:r>
    </w:p>
    <w:p w14:paraId="181B1C09" w14:textId="7C55CEA1" w:rsidR="006A6DCC" w:rsidRPr="004B6CD8" w:rsidRDefault="00E55846" w:rsidP="00453A12">
      <w:pPr>
        <w:pStyle w:val="amprLISTtealbullets-L1"/>
        <w:ind w:left="782" w:hanging="357"/>
        <w:rPr>
          <w:rFonts w:eastAsia="Calibri" w:cs="Times New Roman"/>
          <w:noProof/>
        </w:rPr>
      </w:pPr>
      <w:bookmarkStart w:id="36" w:name="_Toc131535736"/>
      <w:r w:rsidRPr="004B6CD8">
        <w:rPr>
          <w:rFonts w:eastAsia="Calibri" w:cs="Times New Roman"/>
          <w:noProof/>
        </w:rPr>
        <w:t>reinforce the design and implementation of the controls related to the European Innovation Council grant agreement preparation phase.</w:t>
      </w:r>
    </w:p>
    <w:p w14:paraId="7FA33301" w14:textId="0146A046" w:rsidR="00E55846" w:rsidRPr="00874637" w:rsidRDefault="00132805" w:rsidP="66263CC9">
      <w:pPr>
        <w:rPr>
          <w:noProof/>
          <w:lang w:val="en-IE"/>
        </w:rPr>
      </w:pPr>
      <w:r w:rsidRPr="00874637">
        <w:rPr>
          <w:noProof/>
          <w:lang w:val="en-IE"/>
        </w:rPr>
        <w:t>Recommendation No 2, o</w:t>
      </w:r>
      <w:r w:rsidR="00E55846" w:rsidRPr="00874637">
        <w:rPr>
          <w:noProof/>
          <w:lang w:val="en-IE"/>
        </w:rPr>
        <w:t xml:space="preserve">n </w:t>
      </w:r>
      <w:r w:rsidR="00F610B7" w:rsidRPr="00874637">
        <w:rPr>
          <w:noProof/>
          <w:lang w:val="en-IE"/>
        </w:rPr>
        <w:t xml:space="preserve">the </w:t>
      </w:r>
      <w:r w:rsidR="00E55846" w:rsidRPr="00874637">
        <w:rPr>
          <w:rStyle w:val="BoldAccent1"/>
          <w:noProof/>
          <w:color w:val="003399" w:themeColor="text2"/>
          <w:lang w:val="en-IE"/>
        </w:rPr>
        <w:t xml:space="preserve">time-to-grant: monitoring and reporting, EISMEA </w:t>
      </w:r>
      <w:r w:rsidR="00E55846" w:rsidRPr="00874637">
        <w:rPr>
          <w:noProof/>
          <w:lang w:val="en-IE"/>
        </w:rPr>
        <w:t>should</w:t>
      </w:r>
      <w:r w:rsidR="00915A2D" w:rsidRPr="00874637">
        <w:rPr>
          <w:noProof/>
          <w:lang w:val="en-IE"/>
        </w:rPr>
        <w:t>:</w:t>
      </w:r>
    </w:p>
    <w:p w14:paraId="3F88F29B" w14:textId="4C01BCB9" w:rsidR="00E55846" w:rsidRPr="004B6CD8" w:rsidRDefault="00E55846" w:rsidP="00E55846">
      <w:pPr>
        <w:pStyle w:val="amprLISTtealbullets-L1"/>
        <w:ind w:left="782" w:hanging="357"/>
        <w:rPr>
          <w:rFonts w:eastAsia="Calibri" w:cs="Times New Roman"/>
          <w:noProof/>
        </w:rPr>
      </w:pPr>
      <w:r w:rsidRPr="004B6CD8">
        <w:rPr>
          <w:rFonts w:eastAsia="Calibri" w:cs="Times New Roman"/>
          <w:noProof/>
        </w:rPr>
        <w:t>revise the reporting on the time-to-grant indicator in the Annual Activity Report and assess the key root causes for delays.</w:t>
      </w:r>
    </w:p>
    <w:p w14:paraId="34209A46" w14:textId="0D7F4119" w:rsidR="00E55846" w:rsidRPr="00874637" w:rsidRDefault="005E299E" w:rsidP="66263CC9">
      <w:pPr>
        <w:rPr>
          <w:noProof/>
          <w:lang w:val="en-IE"/>
        </w:rPr>
      </w:pPr>
      <w:r w:rsidRPr="00874637">
        <w:rPr>
          <w:noProof/>
          <w:lang w:val="en-IE"/>
        </w:rPr>
        <w:t>Recommendation No 3, o</w:t>
      </w:r>
      <w:r w:rsidR="00E55846" w:rsidRPr="00874637">
        <w:rPr>
          <w:noProof/>
          <w:lang w:val="en-IE"/>
        </w:rPr>
        <w:t xml:space="preserve">n the </w:t>
      </w:r>
      <w:r w:rsidR="00E55846" w:rsidRPr="00874637">
        <w:rPr>
          <w:rStyle w:val="BoldAccent1"/>
          <w:noProof/>
          <w:color w:val="003399" w:themeColor="text2"/>
          <w:lang w:val="en-IE"/>
        </w:rPr>
        <w:t>award decision process, DG RTD</w:t>
      </w:r>
      <w:r w:rsidR="00E55846" w:rsidRPr="00874637">
        <w:rPr>
          <w:rStyle w:val="BoldAccent1"/>
          <w:noProof/>
          <w:lang w:val="en-IE"/>
        </w:rPr>
        <w:t xml:space="preserve"> </w:t>
      </w:r>
      <w:r w:rsidR="00E55846" w:rsidRPr="00874637">
        <w:rPr>
          <w:noProof/>
          <w:lang w:val="en-IE"/>
        </w:rPr>
        <w:t xml:space="preserve">and </w:t>
      </w:r>
      <w:r w:rsidR="00E55846" w:rsidRPr="00874637">
        <w:rPr>
          <w:rStyle w:val="BoldAccent1"/>
          <w:noProof/>
          <w:color w:val="003399" w:themeColor="text2"/>
          <w:lang w:val="en-IE"/>
        </w:rPr>
        <w:t>EISMEA</w:t>
      </w:r>
      <w:r w:rsidR="00E55846" w:rsidRPr="00874637">
        <w:rPr>
          <w:noProof/>
          <w:lang w:val="en-IE"/>
        </w:rPr>
        <w:t xml:space="preserve"> should</w:t>
      </w:r>
      <w:r w:rsidR="00915A2D" w:rsidRPr="00874637">
        <w:rPr>
          <w:noProof/>
          <w:lang w:val="en-IE"/>
        </w:rPr>
        <w:t>:</w:t>
      </w:r>
    </w:p>
    <w:p w14:paraId="7D540029" w14:textId="1E2A296A" w:rsidR="00E55846" w:rsidRPr="004B6CD8" w:rsidRDefault="00E55846" w:rsidP="00E55846">
      <w:pPr>
        <w:pStyle w:val="amprLISTtealbullets-L1"/>
        <w:ind w:left="782" w:hanging="357"/>
        <w:rPr>
          <w:rFonts w:eastAsia="Calibri" w:cs="Times New Roman"/>
          <w:noProof/>
        </w:rPr>
      </w:pPr>
      <w:r w:rsidRPr="004B6CD8">
        <w:rPr>
          <w:rFonts w:eastAsia="Calibri" w:cs="Times New Roman"/>
          <w:noProof/>
        </w:rPr>
        <w:t>revise the award decision process – critical</w:t>
      </w:r>
      <w:r w:rsidR="000B7A81" w:rsidRPr="004B6CD8">
        <w:rPr>
          <w:rFonts w:eastAsia="Calibri" w:cs="Times New Roman"/>
          <w:noProof/>
        </w:rPr>
        <w:t>.</w:t>
      </w:r>
    </w:p>
    <w:p w14:paraId="65A6E886" w14:textId="65F1213D" w:rsidR="00E55846" w:rsidRPr="00874637" w:rsidRDefault="006E1911" w:rsidP="66263CC9">
      <w:pPr>
        <w:rPr>
          <w:noProof/>
          <w:lang w:val="en-IE"/>
        </w:rPr>
      </w:pPr>
      <w:r w:rsidRPr="00874637">
        <w:rPr>
          <w:noProof/>
          <w:lang w:val="en-IE"/>
        </w:rPr>
        <w:t xml:space="preserve">Recommendation No </w:t>
      </w:r>
      <w:r w:rsidR="005E299E" w:rsidRPr="00874637">
        <w:rPr>
          <w:noProof/>
          <w:lang w:val="en-IE"/>
        </w:rPr>
        <w:t>4, o</w:t>
      </w:r>
      <w:r w:rsidR="00E55846" w:rsidRPr="00874637">
        <w:rPr>
          <w:noProof/>
          <w:lang w:val="en-IE"/>
        </w:rPr>
        <w:t xml:space="preserve">n the </w:t>
      </w:r>
      <w:r w:rsidR="00417553" w:rsidRPr="00874637">
        <w:rPr>
          <w:rStyle w:val="BoldAccent1"/>
          <w:noProof/>
          <w:color w:val="003399" w:themeColor="text2"/>
          <w:lang w:val="en-IE"/>
        </w:rPr>
        <w:t>a</w:t>
      </w:r>
      <w:r w:rsidR="00E55846" w:rsidRPr="00874637">
        <w:rPr>
          <w:rStyle w:val="BoldAccent1"/>
          <w:noProof/>
          <w:color w:val="003399" w:themeColor="text2"/>
          <w:lang w:val="en-IE"/>
        </w:rPr>
        <w:t>mending award decision process, DG RTD</w:t>
      </w:r>
      <w:r w:rsidR="00E55846" w:rsidRPr="00874637">
        <w:rPr>
          <w:rStyle w:val="BoldAccent1"/>
          <w:noProof/>
          <w:lang w:val="en-IE"/>
        </w:rPr>
        <w:t xml:space="preserve"> </w:t>
      </w:r>
      <w:r w:rsidR="00E55846" w:rsidRPr="00874637">
        <w:rPr>
          <w:noProof/>
          <w:lang w:val="en-IE"/>
        </w:rPr>
        <w:t xml:space="preserve">and </w:t>
      </w:r>
      <w:r w:rsidR="00E55846" w:rsidRPr="00874637">
        <w:rPr>
          <w:rStyle w:val="BoldAccent1"/>
          <w:noProof/>
          <w:color w:val="003399" w:themeColor="text2"/>
          <w:lang w:val="en-IE"/>
        </w:rPr>
        <w:t>EISMEA</w:t>
      </w:r>
      <w:r w:rsidR="00E55846" w:rsidRPr="00874637">
        <w:rPr>
          <w:noProof/>
          <w:lang w:val="en-IE"/>
        </w:rPr>
        <w:t xml:space="preserve"> sh</w:t>
      </w:r>
      <w:r w:rsidR="00D007C2" w:rsidRPr="00874637">
        <w:rPr>
          <w:noProof/>
          <w:lang w:val="en-IE"/>
        </w:rPr>
        <w:t>o</w:t>
      </w:r>
      <w:r w:rsidR="00E55846" w:rsidRPr="00874637">
        <w:rPr>
          <w:noProof/>
          <w:lang w:val="en-IE"/>
        </w:rPr>
        <w:t>uld</w:t>
      </w:r>
      <w:r w:rsidR="00915A2D" w:rsidRPr="00874637">
        <w:rPr>
          <w:noProof/>
          <w:lang w:val="en-IE"/>
        </w:rPr>
        <w:t>:</w:t>
      </w:r>
    </w:p>
    <w:p w14:paraId="308743B7" w14:textId="528398E1" w:rsidR="00E55846" w:rsidRPr="004B6CD8" w:rsidRDefault="00E55846" w:rsidP="00E55846">
      <w:pPr>
        <w:pStyle w:val="amprLISTtealbullets-L1"/>
        <w:ind w:left="782" w:hanging="357"/>
        <w:rPr>
          <w:rFonts w:eastAsia="Calibri" w:cs="Times New Roman"/>
          <w:noProof/>
        </w:rPr>
      </w:pPr>
      <w:r w:rsidRPr="004B6CD8">
        <w:rPr>
          <w:rFonts w:eastAsia="Calibri" w:cs="Times New Roman"/>
          <w:noProof/>
        </w:rPr>
        <w:t>revise the amending award decision process</w:t>
      </w:r>
      <w:r w:rsidR="000B7A81" w:rsidRPr="004B6CD8">
        <w:rPr>
          <w:rFonts w:eastAsia="Calibri" w:cs="Times New Roman"/>
          <w:noProof/>
        </w:rPr>
        <w:t>.</w:t>
      </w:r>
    </w:p>
    <w:p w14:paraId="783AA195" w14:textId="6E951F99" w:rsidR="00E55846" w:rsidRPr="00874637" w:rsidRDefault="006E1911" w:rsidP="66263CC9">
      <w:pPr>
        <w:rPr>
          <w:b/>
          <w:bCs/>
          <w:noProof/>
          <w:lang w:val="en-IE"/>
        </w:rPr>
      </w:pPr>
      <w:r w:rsidRPr="00874637">
        <w:rPr>
          <w:noProof/>
          <w:lang w:val="en-IE"/>
        </w:rPr>
        <w:t xml:space="preserve">Recommendation No </w:t>
      </w:r>
      <w:r w:rsidR="005E299E" w:rsidRPr="00874637">
        <w:rPr>
          <w:noProof/>
          <w:lang w:val="en-IE"/>
        </w:rPr>
        <w:t>5, o</w:t>
      </w:r>
      <w:r w:rsidR="00417553" w:rsidRPr="00874637">
        <w:rPr>
          <w:noProof/>
          <w:lang w:val="en-IE"/>
        </w:rPr>
        <w:t xml:space="preserve">n the </w:t>
      </w:r>
      <w:r w:rsidR="00417553" w:rsidRPr="00874637">
        <w:rPr>
          <w:rStyle w:val="BoldAccent1"/>
          <w:noProof/>
          <w:color w:val="003399" w:themeColor="text2"/>
          <w:lang w:val="en-IE"/>
        </w:rPr>
        <w:t xml:space="preserve">budget monitoring and communication of the award decisions to the European Investment Bank, DG RTD </w:t>
      </w:r>
      <w:r w:rsidR="00417553" w:rsidRPr="00874637">
        <w:rPr>
          <w:noProof/>
          <w:lang w:val="en-IE"/>
        </w:rPr>
        <w:t>should</w:t>
      </w:r>
      <w:r w:rsidR="00915A2D" w:rsidRPr="00874637">
        <w:rPr>
          <w:noProof/>
          <w:lang w:val="en-IE"/>
        </w:rPr>
        <w:t>:</w:t>
      </w:r>
    </w:p>
    <w:p w14:paraId="1CCE6566" w14:textId="54D57719" w:rsidR="00E55846" w:rsidRPr="004B6CD8" w:rsidRDefault="00417553" w:rsidP="0003593D">
      <w:pPr>
        <w:pStyle w:val="amprLISTtealbullets-L1"/>
        <w:spacing w:after="240"/>
        <w:ind w:left="782" w:hanging="357"/>
        <w:rPr>
          <w:rFonts w:eastAsia="Calibri" w:cs="Times New Roman"/>
          <w:noProof/>
        </w:rPr>
      </w:pPr>
      <w:r w:rsidRPr="004B6CD8">
        <w:rPr>
          <w:rFonts w:eastAsia="Calibri" w:cs="Times New Roman"/>
          <w:noProof/>
        </w:rPr>
        <w:t>reinforce budget monitoring and ensure formal transmission of the award decisions to the European Investment Bank</w:t>
      </w:r>
      <w:r w:rsidR="000B7A81" w:rsidRPr="004B6CD8">
        <w:rPr>
          <w:rFonts w:eastAsia="Calibri" w:cs="Times New Roman"/>
          <w:noProof/>
        </w:rPr>
        <w: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E21E6A" w:rsidRPr="007F05B2" w14:paraId="6EDDE86F" w14:textId="77777777" w:rsidTr="001E48C2">
        <w:tc>
          <w:tcPr>
            <w:tcW w:w="9057" w:type="dxa"/>
          </w:tcPr>
          <w:p w14:paraId="0EDA610C" w14:textId="6F3613B6" w:rsidR="00E21E6A" w:rsidRPr="004B6CD8" w:rsidRDefault="00E21E6A" w:rsidP="00195254">
            <w:pPr>
              <w:pStyle w:val="boldblue"/>
            </w:pPr>
            <w:r w:rsidRPr="004B6CD8">
              <w:t xml:space="preserve">Additional information provided by </w:t>
            </w:r>
            <w:r w:rsidR="00417553" w:rsidRPr="004B6CD8">
              <w:t>DG RTD and EISMEA on the implemented measures</w:t>
            </w:r>
          </w:p>
          <w:p w14:paraId="5B15D01E" w14:textId="5CD9F748" w:rsidR="004C52C7" w:rsidRPr="004B6CD8" w:rsidRDefault="00C91759" w:rsidP="00195254">
            <w:pPr>
              <w:jc w:val="both"/>
              <w:rPr>
                <w:noProof/>
              </w:rPr>
            </w:pPr>
            <w:r w:rsidRPr="004B6CD8">
              <w:rPr>
                <w:noProof/>
              </w:rPr>
              <w:t>DG RTD and EISMEA accepted all recommendations</w:t>
            </w:r>
            <w:r w:rsidR="0057366A">
              <w:rPr>
                <w:noProof/>
              </w:rPr>
              <w:t xml:space="preserve">, with the exception of one </w:t>
            </w:r>
            <w:r w:rsidRPr="004B6CD8">
              <w:rPr>
                <w:noProof/>
              </w:rPr>
              <w:t xml:space="preserve">sub-recommendation </w:t>
            </w:r>
            <w:r w:rsidR="0057366A">
              <w:rPr>
                <w:noProof/>
              </w:rPr>
              <w:t>(</w:t>
            </w:r>
            <w:r w:rsidRPr="004B6CD8">
              <w:rPr>
                <w:noProof/>
              </w:rPr>
              <w:t>only partially accepted)</w:t>
            </w:r>
            <w:r w:rsidR="0057366A">
              <w:rPr>
                <w:noProof/>
              </w:rPr>
              <w:t>.</w:t>
            </w:r>
            <w:r w:rsidRPr="004B6CD8">
              <w:rPr>
                <w:noProof/>
              </w:rPr>
              <w:t xml:space="preserve"> </w:t>
            </w:r>
            <w:r w:rsidR="0057366A">
              <w:rPr>
                <w:noProof/>
              </w:rPr>
              <w:t>They submitted a joint</w:t>
            </w:r>
            <w:r w:rsidRPr="004B6CD8">
              <w:rPr>
                <w:noProof/>
              </w:rPr>
              <w:t xml:space="preserve"> action plan to the IAS</w:t>
            </w:r>
            <w:r w:rsidR="0057366A">
              <w:rPr>
                <w:noProof/>
              </w:rPr>
              <w:t xml:space="preserve"> </w:t>
            </w:r>
            <w:r w:rsidR="0057366A" w:rsidRPr="004B6CD8">
              <w:rPr>
                <w:noProof/>
              </w:rPr>
              <w:t>mid-March 2026</w:t>
            </w:r>
            <w:r w:rsidRPr="004B6CD8">
              <w:rPr>
                <w:noProof/>
              </w:rPr>
              <w:t>, who</w:t>
            </w:r>
            <w:r w:rsidR="008E0372">
              <w:rPr>
                <w:noProof/>
              </w:rPr>
              <w:t xml:space="preserve"> </w:t>
            </w:r>
            <w:r w:rsidRPr="004B6CD8">
              <w:rPr>
                <w:noProof/>
              </w:rPr>
              <w:t>assessed it as satisfactory. The implementation of all recommendations is on track. Both services are committed to implement corrective actions as swiftly as possible</w:t>
            </w:r>
            <w:r w:rsidR="008E0372">
              <w:rPr>
                <w:noProof/>
              </w:rPr>
              <w:t xml:space="preserve"> </w:t>
            </w:r>
            <w:r w:rsidR="008E0372" w:rsidRPr="004B6CD8">
              <w:rPr>
                <w:noProof/>
              </w:rPr>
              <w:t>to ensure that any potential risks are appropriately mitigated within a short timeframe</w:t>
            </w:r>
            <w:r w:rsidRPr="004B6CD8">
              <w:rPr>
                <w:noProof/>
              </w:rPr>
              <w:t xml:space="preserve"> (before </w:t>
            </w:r>
            <w:r w:rsidR="008E0372">
              <w:rPr>
                <w:noProof/>
              </w:rPr>
              <w:t xml:space="preserve">third quarter </w:t>
            </w:r>
            <w:r w:rsidRPr="004B6CD8">
              <w:rPr>
                <w:noProof/>
              </w:rPr>
              <w:t xml:space="preserve">2026 for the critical recommendation, </w:t>
            </w:r>
            <w:r w:rsidR="00D007C2">
              <w:rPr>
                <w:noProof/>
              </w:rPr>
              <w:t xml:space="preserve">at the </w:t>
            </w:r>
            <w:r w:rsidRPr="004B6CD8">
              <w:rPr>
                <w:noProof/>
              </w:rPr>
              <w:t xml:space="preserve">latest </w:t>
            </w:r>
            <w:r w:rsidR="00D007C2">
              <w:rPr>
                <w:noProof/>
              </w:rPr>
              <w:t xml:space="preserve">by the </w:t>
            </w:r>
            <w:r w:rsidRPr="004B6CD8">
              <w:rPr>
                <w:noProof/>
              </w:rPr>
              <w:t xml:space="preserve">end of 2026 for the rest). </w:t>
            </w:r>
          </w:p>
        </w:tc>
      </w:tr>
    </w:tbl>
    <w:p w14:paraId="29983B09" w14:textId="31BC5BA3" w:rsidR="002D47DF" w:rsidRPr="004B6CD8" w:rsidRDefault="002D47DF" w:rsidP="00D74BE0">
      <w:pPr>
        <w:pStyle w:val="amprH3Title2-Numbered-11"/>
        <w:numPr>
          <w:ilvl w:val="1"/>
          <w:numId w:val="51"/>
        </w:numPr>
        <w:rPr>
          <w:noProof/>
        </w:rPr>
      </w:pPr>
      <w:bookmarkStart w:id="37" w:name="_Toc231235428"/>
      <w:r w:rsidRPr="004B6CD8">
        <w:rPr>
          <w:noProof/>
        </w:rPr>
        <w:t xml:space="preserve">Implementation of the Connecting Europe Facility </w:t>
      </w:r>
      <w:r w:rsidR="00883D7A">
        <w:rPr>
          <w:noProof/>
        </w:rPr>
        <w:t>–</w:t>
      </w:r>
      <w:r w:rsidRPr="004B6CD8">
        <w:rPr>
          <w:noProof/>
        </w:rPr>
        <w:t xml:space="preserve"> Transport</w:t>
      </w:r>
      <w:r w:rsidR="00883D7A">
        <w:rPr>
          <w:noProof/>
        </w:rPr>
        <w:t xml:space="preserve"> (DG MOVE, CINEA)</w:t>
      </w:r>
      <w:bookmarkEnd w:id="37"/>
    </w:p>
    <w:p w14:paraId="3838C863" w14:textId="77777777"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the effective and efficient implementation of the governance, risk management and control processes established by CINEA and DG MOVE for the implementation of C</w:t>
      </w:r>
      <w:r w:rsidR="009F256C" w:rsidRPr="004B6CD8">
        <w:rPr>
          <w:rFonts w:eastAsia="Calibri" w:cs="Times New Roman"/>
          <w:noProof/>
          <w:kern w:val="0"/>
          <w:lang w:val="en-GB"/>
          <w14:ligatures w14:val="none"/>
        </w:rPr>
        <w:t xml:space="preserve">onnecting </w:t>
      </w:r>
      <w:r w:rsidRPr="004B6CD8">
        <w:rPr>
          <w:rFonts w:eastAsia="Calibri" w:cs="Times New Roman"/>
          <w:noProof/>
          <w:kern w:val="0"/>
          <w:lang w:val="en-GB"/>
          <w14:ligatures w14:val="none"/>
        </w:rPr>
        <w:t>E</w:t>
      </w:r>
      <w:r w:rsidR="009F256C" w:rsidRPr="004B6CD8">
        <w:rPr>
          <w:rFonts w:eastAsia="Calibri" w:cs="Times New Roman"/>
          <w:noProof/>
          <w:kern w:val="0"/>
          <w:lang w:val="en-GB"/>
          <w14:ligatures w14:val="none"/>
        </w:rPr>
        <w:t xml:space="preserve">urope </w:t>
      </w:r>
      <w:r w:rsidRPr="004B6CD8">
        <w:rPr>
          <w:rFonts w:eastAsia="Calibri" w:cs="Times New Roman"/>
          <w:noProof/>
          <w:kern w:val="0"/>
          <w:lang w:val="en-GB"/>
          <w14:ligatures w14:val="none"/>
        </w:rPr>
        <w:t>F</w:t>
      </w:r>
      <w:r w:rsidR="009F256C" w:rsidRPr="004B6CD8">
        <w:rPr>
          <w:rFonts w:eastAsia="Calibri" w:cs="Times New Roman"/>
          <w:noProof/>
          <w:kern w:val="0"/>
          <w:lang w:val="en-GB"/>
          <w14:ligatures w14:val="none"/>
        </w:rPr>
        <w:t>acility (</w:t>
      </w:r>
      <w:r w:rsidRPr="004B6CD8">
        <w:rPr>
          <w:rFonts w:eastAsia="Calibri" w:cs="Times New Roman"/>
          <w:noProof/>
          <w:kern w:val="0"/>
          <w:lang w:val="en-GB"/>
          <w14:ligatures w14:val="none"/>
        </w:rPr>
        <w:t>CEF</w:t>
      </w:r>
      <w:r w:rsidR="009F256C" w:rsidRPr="004B6CD8">
        <w:rPr>
          <w:rFonts w:eastAsia="Calibri" w:cs="Times New Roman"/>
          <w:noProof/>
          <w:kern w:val="0"/>
          <w:lang w:val="en-GB"/>
          <w14:ligatures w14:val="none"/>
        </w:rPr>
        <w:t>)</w:t>
      </w:r>
      <w:r w:rsidRPr="004B6CD8">
        <w:rPr>
          <w:rFonts w:eastAsia="Calibri" w:cs="Times New Roman"/>
          <w:noProof/>
          <w:kern w:val="0"/>
          <w:lang w:val="en-GB"/>
          <w14:ligatures w14:val="none"/>
        </w:rPr>
        <w:t xml:space="preserve"> Transport (Phase II, i.e. after the award of the grant agreement), in line with the applicable rules.</w:t>
      </w:r>
    </w:p>
    <w:p w14:paraId="5F91E2BE" w14:textId="77777777" w:rsidR="002D47DF" w:rsidRPr="004B6CD8" w:rsidRDefault="002D47DF" w:rsidP="002D47D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58828ABB" w14:textId="77777777" w:rsidR="002D47DF" w:rsidRPr="004B6CD8" w:rsidRDefault="002D47DF" w:rsidP="002D47DF">
      <w:pPr>
        <w:jc w:val="both"/>
        <w:rPr>
          <w:rFonts w:cs="Times New Roman"/>
          <w:i/>
          <w:iCs/>
          <w:noProof/>
          <w:color w:val="003399" w:themeColor="text2"/>
          <w:lang w:val="en-GB"/>
        </w:rPr>
      </w:pPr>
      <w:r w:rsidRPr="004B6CD8">
        <w:rPr>
          <w:rFonts w:cs="Times New Roman"/>
          <w:i/>
          <w:iCs/>
          <w:noProof/>
          <w:color w:val="003399" w:themeColor="text2"/>
          <w:lang w:val="en-GB"/>
        </w:rPr>
        <w:t>Do DG MOVE and CINEA effectively and efficiently implement their working arrangements for the implementation of the projects funded under CEF Transport?</w:t>
      </w:r>
    </w:p>
    <w:p w14:paraId="23110EF6" w14:textId="77777777"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The working arrangements between DG MOVE and CINEA are implemented effectively and efficiently, with roles and responsibilities clearly defined in the Memorandum of Understanding of August 2021. DG MOVE provides policy direction and strategic oversight, while CINEA ensures the operational management of CEF Transport projects, including monitoring, reporting and payments. This division of tasks is consistently applied in practice and supports clarity and accountability.</w:t>
      </w:r>
    </w:p>
    <w:p w14:paraId="6077C3D7" w14:textId="77777777"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Coordination mechanisms are well established and function smoothly at both the strategic and the operational level; regular meetings, management exchanges and operational contacts between project officers ensure continuous alignment. The systematic exchange of information and reporting strengthens collaboration and allows issues to be addressed in a timely manner.</w:t>
      </w:r>
    </w:p>
    <w:p w14:paraId="6DA0EC17" w14:textId="77777777"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The arrangements also demonstrate flexibility and adaptability. Adjustments to implementation, such as project amendments or extensions, are applied consistently and discussed with DG MOVE when necessary. Both parties consider the Memorandum of Understanding adequate, and no significant issues have been identified. Overall, the cooperation framework enables effective programme delivery and efficient use of resources.</w:t>
      </w:r>
    </w:p>
    <w:p w14:paraId="518E1827" w14:textId="0E270231" w:rsidR="002D47DF" w:rsidRPr="004B6CD8" w:rsidRDefault="002D47DF" w:rsidP="002D47DF">
      <w:pPr>
        <w:jc w:val="both"/>
        <w:rPr>
          <w:rFonts w:eastAsia="Calibri" w:cs="Times New Roman"/>
          <w:noProof/>
          <w:kern w:val="0"/>
          <w:lang w:val="en-GB"/>
          <w14:ligatures w14:val="none"/>
        </w:rPr>
      </w:pPr>
      <w:r w:rsidRPr="004B6CD8">
        <w:rPr>
          <w:rFonts w:cs="Times New Roman"/>
          <w:i/>
          <w:iCs/>
          <w:noProof/>
          <w:color w:val="003399" w:themeColor="text2"/>
          <w:lang w:val="en-GB"/>
        </w:rPr>
        <w:t xml:space="preserve">Has CINEA, in cooperation with its parent </w:t>
      </w:r>
      <w:r w:rsidR="009F256C" w:rsidRPr="004B6CD8">
        <w:rPr>
          <w:rFonts w:cs="Times New Roman"/>
          <w:i/>
          <w:iCs/>
          <w:noProof/>
          <w:color w:val="003399" w:themeColor="text2"/>
          <w:lang w:val="en-GB"/>
        </w:rPr>
        <w:t>Directorate-General</w:t>
      </w:r>
      <w:r w:rsidRPr="004B6CD8">
        <w:rPr>
          <w:rFonts w:cs="Times New Roman"/>
          <w:i/>
          <w:iCs/>
          <w:noProof/>
          <w:color w:val="003399" w:themeColor="text2"/>
          <w:lang w:val="en-GB"/>
        </w:rPr>
        <w:t xml:space="preserve"> as appropriate, designed and implemented adequate processes for monitoring the implementation of the projects funded under CEF Transport?</w:t>
      </w:r>
    </w:p>
    <w:p w14:paraId="53417C4A" w14:textId="77777777"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CINEA has designed processes to monitor the implementation of actions funded under the CEF2 Transport programme. The roles and responsibilities are defined and understood, monitoring mechanisms are consistently applied.</w:t>
      </w:r>
    </w:p>
    <w:p w14:paraId="124A00D9" w14:textId="77777777"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Beneficiaries are well informed of their obligations through a combination of tools, templates and practical guidance, supported by frequent communication with project officers, facilitating effective implementation.</w:t>
      </w:r>
    </w:p>
    <w:p w14:paraId="3C0F2FC4" w14:textId="77777777"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Monitoring and reporting arrangements provide both regular oversight and assurance on the progress of actions. However, certain elements of the monitoring framework are not fully proportionate to the potential risk levels of some actions and therefore require improvement, namely:</w:t>
      </w:r>
    </w:p>
    <w:p w14:paraId="2DA84F1E" w14:textId="4D6C9EF4" w:rsidR="002D47DF" w:rsidRPr="004B6CD8" w:rsidRDefault="002D47DF" w:rsidP="001E1A37">
      <w:pPr>
        <w:pStyle w:val="amprLISTtealbullets-L1"/>
        <w:rPr>
          <w:rFonts w:eastAsia="Calibri"/>
          <w:noProof/>
        </w:rPr>
      </w:pPr>
      <w:r w:rsidRPr="004B6CD8">
        <w:rPr>
          <w:rFonts w:eastAsia="Calibri"/>
          <w:noProof/>
        </w:rPr>
        <w:t>There is currently no documented methodology with defined criteria or red flags to support a consistent, risk-based decision on when to perform additional on-site visits.</w:t>
      </w:r>
    </w:p>
    <w:p w14:paraId="2CEFEE5E" w14:textId="30C23914" w:rsidR="002D47DF" w:rsidRPr="004B6CD8" w:rsidRDefault="002D47DF" w:rsidP="001E1A37">
      <w:pPr>
        <w:pStyle w:val="amprLISTtealbullets-L1"/>
        <w:rPr>
          <w:rFonts w:eastAsia="Calibri"/>
          <w:noProof/>
        </w:rPr>
      </w:pPr>
      <w:r w:rsidRPr="004B6CD8">
        <w:rPr>
          <w:rFonts w:eastAsia="Calibri"/>
          <w:noProof/>
        </w:rPr>
        <w:t>There is limited guidance supporting project managers in their assessment of technical reports, in particular as regards the elements that may be considered riskier or red flags and there was no documented evidence that these external technical reports were adequately analysed.</w:t>
      </w:r>
    </w:p>
    <w:p w14:paraId="0B985608" w14:textId="7B9CCA7F" w:rsidR="002D47DF" w:rsidRPr="004B6CD8" w:rsidRDefault="002D47DF" w:rsidP="001E1A37">
      <w:pPr>
        <w:pStyle w:val="amprLISTtealbullets-L1"/>
        <w:rPr>
          <w:rFonts w:eastAsia="Calibri"/>
          <w:noProof/>
        </w:rPr>
      </w:pPr>
      <w:r w:rsidRPr="004B6CD8">
        <w:rPr>
          <w:rFonts w:eastAsia="Calibri"/>
          <w:noProof/>
        </w:rPr>
        <w:t>The CINEA procedures and guidelines lack details on the steps to be taken in case of recurrent delays or quality issues linked to underperformance.</w:t>
      </w:r>
    </w:p>
    <w:p w14:paraId="6E292820" w14:textId="442E7614" w:rsidR="002D47DF" w:rsidRPr="004B6CD8" w:rsidRDefault="002D47DF" w:rsidP="002D47DF">
      <w:pPr>
        <w:jc w:val="both"/>
        <w:rPr>
          <w:rFonts w:cs="Times New Roman"/>
          <w:i/>
          <w:iCs/>
          <w:noProof/>
          <w:color w:val="003399" w:themeColor="text2"/>
          <w:lang w:val="en-GB"/>
        </w:rPr>
      </w:pPr>
      <w:r w:rsidRPr="004B6CD8">
        <w:rPr>
          <w:rFonts w:cs="Times New Roman"/>
          <w:i/>
          <w:iCs/>
          <w:noProof/>
          <w:color w:val="003399" w:themeColor="text2"/>
          <w:lang w:val="en-GB"/>
        </w:rPr>
        <w:t xml:space="preserve">Has CINEA, in cooperation with its parent </w:t>
      </w:r>
      <w:r w:rsidR="009F256C" w:rsidRPr="004B6CD8">
        <w:rPr>
          <w:rFonts w:cs="Times New Roman"/>
          <w:i/>
          <w:iCs/>
          <w:noProof/>
          <w:color w:val="003399" w:themeColor="text2"/>
          <w:lang w:val="en-GB"/>
        </w:rPr>
        <w:t>Directorate-General</w:t>
      </w:r>
      <w:r w:rsidRPr="004B6CD8">
        <w:rPr>
          <w:rFonts w:cs="Times New Roman"/>
          <w:i/>
          <w:iCs/>
          <w:noProof/>
          <w:color w:val="003399" w:themeColor="text2"/>
          <w:lang w:val="en-GB"/>
        </w:rPr>
        <w:t xml:space="preserve"> as appropriate, designed and implemented adequate controls in relation to payments?</w:t>
      </w:r>
    </w:p>
    <w:p w14:paraId="3BF54ECF" w14:textId="7948A328"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CINEA, in cooperation with its parent </w:t>
      </w:r>
      <w:r w:rsidR="009F256C" w:rsidRPr="004B6CD8">
        <w:rPr>
          <w:rFonts w:eastAsia="Calibri" w:cs="Times New Roman"/>
          <w:noProof/>
          <w:kern w:val="0"/>
          <w:lang w:val="en-GB"/>
          <w14:ligatures w14:val="none"/>
        </w:rPr>
        <w:t>Directorate-General</w:t>
      </w:r>
      <w:r w:rsidRPr="004B6CD8">
        <w:rPr>
          <w:rFonts w:eastAsia="Calibri" w:cs="Times New Roman"/>
          <w:noProof/>
          <w:kern w:val="0"/>
          <w:lang w:val="en-GB"/>
          <w14:ligatures w14:val="none"/>
        </w:rPr>
        <w:t xml:space="preserve"> where appropriate, has put in place adequate and effective controls in relation to payments. The financial circuits are clearly documented (</w:t>
      </w:r>
      <w:r w:rsidR="00A113F2" w:rsidRPr="004B6CD8">
        <w:rPr>
          <w:rFonts w:eastAsia="Calibri" w:cs="Times New Roman"/>
          <w:noProof/>
          <w:kern w:val="0"/>
          <w:lang w:val="en-GB"/>
          <w14:ligatures w14:val="none"/>
        </w:rPr>
        <w:t xml:space="preserve">electronic Manual of Procedures - </w:t>
      </w:r>
      <w:r w:rsidRPr="004B6CD8">
        <w:rPr>
          <w:rFonts w:eastAsia="Calibri" w:cs="Times New Roman"/>
          <w:noProof/>
          <w:kern w:val="0"/>
          <w:lang w:val="en-GB"/>
          <w14:ligatures w14:val="none"/>
        </w:rPr>
        <w:t>eMOP), and roles and responsibilities (Project Officers, Financial Officers and Heads of Sector) are well defined and respected, ensuring that regulatory and contractual requirements are met before any payment is authorised.</w:t>
      </w:r>
    </w:p>
    <w:p w14:paraId="4CDD265A" w14:textId="77777777"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Staff are provided with clear guidance and targeted training to ensure the necessary expertise for carrying out financial tasks. CINEA ensures that compliance checks are performed in accordance with the applicable rules and properly documented. No indications of double funding were identified in the reviewed sample, with checks performed on invoices (accounting number, date and amount) to verify that costs had not been previously claimed.</w:t>
      </w:r>
    </w:p>
    <w:p w14:paraId="5B152BA7" w14:textId="505F8410"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For the projects examined, pre-financing, interim and final payments were subject to the required checks (including the Certified Financial Statement where applicable), and in cases of project termination, recoveries were successfully carried out. No recurrent errors or systemic weaknesses were identified, and mechanisms exist to inform the parent </w:t>
      </w:r>
      <w:r w:rsidR="00A113F2" w:rsidRPr="004B6CD8">
        <w:rPr>
          <w:rFonts w:eastAsia="Calibri" w:cs="Times New Roman"/>
          <w:noProof/>
          <w:kern w:val="0"/>
          <w:lang w:val="en-GB"/>
          <w14:ligatures w14:val="none"/>
        </w:rPr>
        <w:t>Directorate-General</w:t>
      </w:r>
      <w:r w:rsidRPr="004B6CD8">
        <w:rPr>
          <w:rFonts w:eastAsia="Calibri" w:cs="Times New Roman"/>
          <w:noProof/>
          <w:kern w:val="0"/>
          <w:lang w:val="en-GB"/>
          <w14:ligatures w14:val="none"/>
        </w:rPr>
        <w:t xml:space="preserve"> when needed. Overall, the internal control framework for payments is considered appropriate and effective.</w:t>
      </w:r>
    </w:p>
    <w:p w14:paraId="56388128" w14:textId="77777777" w:rsidR="002D47DF" w:rsidRPr="004B6CD8" w:rsidRDefault="002D47DF" w:rsidP="002D47DF">
      <w:pPr>
        <w:jc w:val="both"/>
        <w:rPr>
          <w:rFonts w:cs="Times New Roman"/>
          <w:i/>
          <w:iCs/>
          <w:noProof/>
          <w:color w:val="003399" w:themeColor="text2"/>
          <w:lang w:val="en-GB"/>
        </w:rPr>
      </w:pPr>
      <w:r w:rsidRPr="004B6CD8">
        <w:rPr>
          <w:rFonts w:cs="Times New Roman"/>
          <w:i/>
          <w:iCs/>
          <w:noProof/>
          <w:color w:val="003399" w:themeColor="text2"/>
          <w:lang w:val="en-GB"/>
        </w:rPr>
        <w:t>Does CINEA effectively manage amendments, as appropriate in cooperation with DG MOVE?</w:t>
      </w:r>
    </w:p>
    <w:p w14:paraId="50BFAD0D" w14:textId="77777777"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CINEA effectively manages the amendments process, and its controls comply with the grant agreement provisions. CINEA has prepared detailed process manuals and procedures to manage the workflow for amendments. A sample review of projects with amendments did not identify any cases where these procedures were not followed. The involvement of DG MOVE is limited to specific cases as described in the process manuals.</w:t>
      </w:r>
    </w:p>
    <w:p w14:paraId="645EBD89" w14:textId="77777777" w:rsidR="002D47DF" w:rsidRPr="004B6CD8" w:rsidRDefault="002D47DF" w:rsidP="002D47DF">
      <w:pPr>
        <w:jc w:val="both"/>
        <w:rPr>
          <w:rFonts w:cs="Times New Roman"/>
          <w:i/>
          <w:iCs/>
          <w:noProof/>
          <w:color w:val="003399" w:themeColor="text2"/>
          <w:lang w:val="en-GB"/>
        </w:rPr>
      </w:pPr>
      <w:r w:rsidRPr="004B6CD8">
        <w:rPr>
          <w:rFonts w:cs="Times New Roman"/>
          <w:i/>
          <w:iCs/>
          <w:noProof/>
          <w:color w:val="003399" w:themeColor="text2"/>
          <w:lang w:val="en-GB"/>
        </w:rPr>
        <w:t>Are the working arrangements between CINEA and DG MOVE for reporting and communicating the results of the projects funded under CEF Transport effectively and efficiently implemented?</w:t>
      </w:r>
    </w:p>
    <w:p w14:paraId="219A2D9A" w14:textId="77777777"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The working arrangements between CINEA and DG MOVE for reporting and communicating project results are effectively implemented, with feedback to policy aligned with expectations set out in the Memorandum of Understanding. A series of correspondents have been established to facilitate working arrangements and collaboration between CINEA and DG MOVE. DG MOVE contribution is further strengthened through the use of sophisticated dashboards and data visualisation tools, enhancing transparency and supporting oversight. Established key performance indicators and stakeholder feedback surveys provide insight into the performance of both grant management and of project officers.</w:t>
      </w:r>
    </w:p>
    <w:p w14:paraId="32D437F3" w14:textId="77777777" w:rsidR="002D47DF" w:rsidRPr="004B6CD8" w:rsidRDefault="002D47DF" w:rsidP="002D47D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1273384D" w14:textId="77777777"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CINEA and DG MOVE have adequately designed and effectively and efficiently implemented processes for the effective and efficient implementation of CEF Transport, in line with the applicable legal framework.</w:t>
      </w:r>
    </w:p>
    <w:p w14:paraId="16C818A7" w14:textId="57685535"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134CEA44" w14:textId="7663599C" w:rsidR="002D47DF" w:rsidRPr="004B6CD8" w:rsidRDefault="002D47DF" w:rsidP="002D47D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w:t>
      </w:r>
      <w:r w:rsidRPr="008A53FC">
        <w:rPr>
          <w:rStyle w:val="BoldAccent1"/>
          <w:noProof/>
          <w:color w:val="003399" w:themeColor="text2"/>
        </w:rPr>
        <w:t xml:space="preserve">IAS </w:t>
      </w:r>
      <w:r w:rsidRPr="004B6CD8">
        <w:rPr>
          <w:rFonts w:eastAsia="Calibri" w:cs="Times New Roman"/>
          <w:noProof/>
          <w:kern w:val="0"/>
          <w:lang w:val="en-GB"/>
          <w14:ligatures w14:val="none"/>
        </w:rPr>
        <w:t>did not formulate any critical or very important recommendations.</w:t>
      </w:r>
    </w:p>
    <w:p w14:paraId="1F3AC8EC" w14:textId="1B9391BE" w:rsidR="001464D2" w:rsidRPr="004B6CD8" w:rsidRDefault="00A9637E" w:rsidP="00D74BE0">
      <w:pPr>
        <w:pStyle w:val="amprH3Title2-Numbered-11"/>
        <w:numPr>
          <w:ilvl w:val="1"/>
          <w:numId w:val="51"/>
        </w:numPr>
        <w:rPr>
          <w:noProof/>
        </w:rPr>
      </w:pPr>
      <w:bookmarkStart w:id="38" w:name="_Toc231235429"/>
      <w:r w:rsidRPr="004B6CD8">
        <w:rPr>
          <w:noProof/>
        </w:rPr>
        <w:t>Assurance building processes and audit strategy for the 2021-2027 programming period - design (DG HOME)</w:t>
      </w:r>
      <w:bookmarkEnd w:id="38"/>
    </w:p>
    <w:p w14:paraId="70B3143F" w14:textId="77777777" w:rsidR="00A9637E" w:rsidRPr="004B6CD8" w:rsidRDefault="00A9637E" w:rsidP="00A9637E">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the adequacy of the design and set up of DG HOME’s ‘governance, risk management and control processes’ for assurance building of funds implemented under shared management in the 2021-2027 programming period.</w:t>
      </w:r>
    </w:p>
    <w:p w14:paraId="211CB790" w14:textId="77777777" w:rsidR="00A9637E" w:rsidRPr="004B6CD8" w:rsidRDefault="00A9637E" w:rsidP="00A9637E">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65BAE0C2" w14:textId="77777777" w:rsidR="00A9637E" w:rsidRPr="004B6CD8" w:rsidRDefault="00A9637E" w:rsidP="00A9637E">
      <w:pPr>
        <w:jc w:val="both"/>
        <w:rPr>
          <w:rFonts w:cs="Times New Roman"/>
          <w:i/>
          <w:iCs/>
          <w:noProof/>
          <w:color w:val="003399" w:themeColor="text2"/>
          <w:lang w:val="en-GB"/>
        </w:rPr>
      </w:pPr>
      <w:r w:rsidRPr="004B6CD8">
        <w:rPr>
          <w:rFonts w:cs="Times New Roman"/>
          <w:i/>
          <w:iCs/>
          <w:noProof/>
          <w:color w:val="003399" w:themeColor="text2"/>
          <w:lang w:val="en-GB"/>
        </w:rPr>
        <w:t>Has DG HOME provided relevant, clear and sufficient information to their staff on key changes and features regarding DG HOME funds implemented under shared management in the 2021-2027 programming period?</w:t>
      </w:r>
    </w:p>
    <w:p w14:paraId="4D4D5D53" w14:textId="51240303" w:rsidR="00A9637E" w:rsidRPr="004B6CD8" w:rsidRDefault="00A9637E" w:rsidP="00A9637E">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Overall, DG HOME has identified key features and changes to the legislative framework, impacting the provision of assurance for its funds delivered under the shared management mode. It has established a structured approach towards the dissemination of information to staff and has provided training, guidance and tools to support. In addition, there has been an active coordination between DG HOME, the Joint Audit Directorate for Cohesion and other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implementing funds under the Common Provision Regulation in setting up common guidance and training materials for auditors regarding common features of the 2021-2027 programming period, which can be considered as a good practice.</w:t>
      </w:r>
    </w:p>
    <w:p w14:paraId="2C0213BE" w14:textId="77777777" w:rsidR="00A9637E" w:rsidRPr="004B6CD8" w:rsidRDefault="00A9637E" w:rsidP="00A9637E">
      <w:pPr>
        <w:jc w:val="both"/>
        <w:rPr>
          <w:rFonts w:cs="Times New Roman"/>
          <w:i/>
          <w:iCs/>
          <w:noProof/>
          <w:color w:val="003399" w:themeColor="text2"/>
          <w:lang w:val="en-GB"/>
        </w:rPr>
      </w:pPr>
      <w:r w:rsidRPr="004B6CD8">
        <w:rPr>
          <w:rFonts w:cs="Times New Roman"/>
          <w:i/>
          <w:iCs/>
          <w:noProof/>
          <w:color w:val="003399" w:themeColor="text2"/>
          <w:lang w:val="en-GB"/>
        </w:rPr>
        <w:t>Has DG HOME provided adequate support and tools to assist Member States in the design and set up of their management and control systems for funds implemented under shared management in the 2021-2027 programming period?</w:t>
      </w:r>
    </w:p>
    <w:p w14:paraId="66BC2AA6" w14:textId="5A3B3DD0" w:rsidR="00A9637E" w:rsidRPr="004B6CD8" w:rsidRDefault="00A9637E" w:rsidP="00A9637E">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Through established communication procedures, IT tools and regular meetings, DG HOME has set up a structured dialogue with the national authorities and provides support to Member States regarding the design and functioning of the management and control system, with specific attention to the newly established authorities and new aspects introduced by the regulatory framework. In this context, it was noted that DG HOME closely cooperates with the Joint Audit Directorate for Cohesion and other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implementing funds under the Common Provision Regulation, in providing information to Member States on topics relevant for all funds under the Common Provision Regulation legal framework.</w:t>
      </w:r>
    </w:p>
    <w:p w14:paraId="5BBD1F35" w14:textId="77777777" w:rsidR="00A9637E" w:rsidRPr="004B6CD8" w:rsidRDefault="00A9637E" w:rsidP="00A9637E">
      <w:pPr>
        <w:jc w:val="both"/>
        <w:rPr>
          <w:rFonts w:cs="Times New Roman"/>
          <w:i/>
          <w:iCs/>
          <w:noProof/>
          <w:color w:val="003399" w:themeColor="text2"/>
          <w:lang w:val="en-GB"/>
        </w:rPr>
      </w:pPr>
      <w:r w:rsidRPr="004B6CD8">
        <w:rPr>
          <w:rFonts w:cs="Times New Roman"/>
          <w:i/>
          <w:iCs/>
          <w:noProof/>
          <w:color w:val="003399" w:themeColor="text2"/>
          <w:lang w:val="en-GB"/>
        </w:rPr>
        <w:t>Are the single audit strategy and underpinning internal procedures adequately designed to address DG HOME specific risks and new elements concerning its legality and regularity processes for the 2021-27 Funds under shared management?</w:t>
      </w:r>
    </w:p>
    <w:p w14:paraId="01632C98" w14:textId="190C7CE0" w:rsidR="00A9637E" w:rsidRPr="004B6CD8" w:rsidRDefault="00A9637E" w:rsidP="00A9637E">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Overall, DG HOME has set up audit arrangements based on the single audit strategy commonly developed by all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covered by the Common Provision Regulation. However, for the specific aspects of the audit approach for the 2021-2027 programming period and the internal processes regarding preventive and corrective measures, by the end of the fieldwork, DG HOME had not fully established additional audit arrangements related to the special handling of documents. Besides, a comprehensive risk assessment approach and audit planning incorporating fund-specific and common risk factors was at that time still under the development. Finally, DG HOME still needs to validate internal procedures regarding the application of preventive measures and establish a procedure describing the process on the application, monitoring and reporting of financial corrections.</w:t>
      </w:r>
    </w:p>
    <w:p w14:paraId="54B26BC1" w14:textId="77777777" w:rsidR="00A9637E" w:rsidRPr="004B6CD8" w:rsidRDefault="00A9637E" w:rsidP="00F131BA">
      <w:pPr>
        <w:spacing w:after="160"/>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5BDCAF38" w14:textId="77777777" w:rsidR="00A9637E" w:rsidRPr="004B6CD8" w:rsidRDefault="00A9637E" w:rsidP="00F131BA">
      <w:pPr>
        <w:spacing w:before="160"/>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for the 2021-2027 programming period, DG HOME has, overall, adequately designed and set up governance, risk management and control processes supporting assurance building for funds delivered under the shared management mode, except for the HOME fund – specific audit arrangements, including risk assessment and audit planning under the single audit strategy, and the internal processes for the preventive and corrective measures that still need to be finalised to fully set up all required elements.</w:t>
      </w:r>
    </w:p>
    <w:p w14:paraId="15666D34" w14:textId="20920D3A" w:rsidR="007E3E16" w:rsidRPr="004B6CD8" w:rsidRDefault="00521085" w:rsidP="00F131BA">
      <w:pPr>
        <w:spacing w:after="160"/>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78D0A0BD" w14:textId="3C8221CD" w:rsidR="001464D2" w:rsidRPr="00874637" w:rsidRDefault="006E1911" w:rsidP="00F131BA">
      <w:pPr>
        <w:spacing w:before="160"/>
        <w:jc w:val="both"/>
        <w:rPr>
          <w:rFonts w:eastAsia="Calibri" w:cs="Times New Roman"/>
          <w:noProof/>
          <w:kern w:val="0"/>
          <w:lang w:val="en-IE"/>
          <w14:ligatures w14:val="none"/>
        </w:rPr>
      </w:pPr>
      <w:r w:rsidRPr="00874637">
        <w:rPr>
          <w:rFonts w:eastAsia="Calibri" w:cs="Times New Roman"/>
          <w:noProof/>
          <w:kern w:val="0"/>
          <w:lang w:val="en-IE"/>
          <w14:ligatures w14:val="none"/>
        </w:rPr>
        <w:t xml:space="preserve">Recommendation No </w:t>
      </w:r>
      <w:r w:rsidR="00267027" w:rsidRPr="00874637">
        <w:rPr>
          <w:rFonts w:eastAsia="Calibri" w:cs="Times New Roman"/>
          <w:noProof/>
          <w:kern w:val="0"/>
          <w:lang w:val="en-IE"/>
          <w14:ligatures w14:val="none"/>
        </w:rPr>
        <w:t>1, 2 and 3, o</w:t>
      </w:r>
      <w:r w:rsidR="00A9637E" w:rsidRPr="00874637">
        <w:rPr>
          <w:rFonts w:eastAsia="Calibri" w:cs="Times New Roman"/>
          <w:noProof/>
          <w:kern w:val="0"/>
          <w:lang w:val="en-IE"/>
          <w14:ligatures w14:val="none"/>
        </w:rPr>
        <w:t xml:space="preserve">n </w:t>
      </w:r>
      <w:r w:rsidR="00A9637E" w:rsidRPr="00874637">
        <w:rPr>
          <w:rStyle w:val="BoldAccent1"/>
          <w:noProof/>
          <w:color w:val="003399" w:themeColor="text2"/>
          <w:lang w:val="en-IE"/>
        </w:rPr>
        <w:t xml:space="preserve">audit strategy, risk assessment and audit planning, DG HOME </w:t>
      </w:r>
      <w:r w:rsidR="00D007C2" w:rsidRPr="00874637">
        <w:rPr>
          <w:rFonts w:eastAsia="Calibri" w:cs="Times New Roman"/>
          <w:noProof/>
          <w:kern w:val="0"/>
          <w:lang w:val="en-IE"/>
          <w14:ligatures w14:val="none"/>
        </w:rPr>
        <w:t>should</w:t>
      </w:r>
      <w:r w:rsidR="00011F5C" w:rsidRPr="00874637">
        <w:rPr>
          <w:rFonts w:eastAsia="Calibri" w:cs="Times New Roman"/>
          <w:noProof/>
          <w:kern w:val="0"/>
          <w:lang w:val="en-IE"/>
          <w14:ligatures w14:val="none"/>
        </w:rPr>
        <w:t>:</w:t>
      </w:r>
    </w:p>
    <w:p w14:paraId="0E25073C" w14:textId="09563DA3" w:rsidR="00A9637E" w:rsidRPr="004B6CD8" w:rsidRDefault="00A9637E" w:rsidP="00A9637E">
      <w:pPr>
        <w:pStyle w:val="amprLISTtealbullets-L1"/>
        <w:rPr>
          <w:noProof/>
        </w:rPr>
      </w:pPr>
      <w:r w:rsidRPr="004B6CD8">
        <w:rPr>
          <w:noProof/>
        </w:rPr>
        <w:t>develop additional DG HOME-specific audit arrangements for single audit strategy</w:t>
      </w:r>
      <w:r w:rsidR="005F3F07" w:rsidRPr="004B6CD8">
        <w:rPr>
          <w:noProof/>
        </w:rPr>
        <w:t>.</w:t>
      </w:r>
    </w:p>
    <w:p w14:paraId="74010150" w14:textId="4C8738E8" w:rsidR="00A9637E" w:rsidRPr="004B6CD8" w:rsidRDefault="00A9637E" w:rsidP="00A9637E">
      <w:pPr>
        <w:pStyle w:val="amprLISTtealbullets-L1"/>
        <w:rPr>
          <w:noProof/>
        </w:rPr>
      </w:pPr>
      <w:r w:rsidRPr="004B6CD8">
        <w:rPr>
          <w:noProof/>
        </w:rPr>
        <w:t>set-up a risk assessment model for DG HOME funds</w:t>
      </w:r>
      <w:r w:rsidR="005F3F07" w:rsidRPr="004B6CD8">
        <w:rPr>
          <w:noProof/>
        </w:rPr>
        <w:t>.</w:t>
      </w:r>
    </w:p>
    <w:p w14:paraId="5FF0E443" w14:textId="7A9EF9F0" w:rsidR="00A9637E" w:rsidRPr="004B6CD8" w:rsidRDefault="00A9637E" w:rsidP="00A9637E">
      <w:pPr>
        <w:pStyle w:val="amprLISTtealbullets-L1"/>
        <w:rPr>
          <w:rFonts w:eastAsia="Calibri" w:cs="Times New Roman"/>
          <w:noProof/>
        </w:rPr>
      </w:pPr>
      <w:r w:rsidRPr="004B6CD8">
        <w:rPr>
          <w:rFonts w:eastAsia="Calibri" w:cs="Times New Roman"/>
          <w:noProof/>
        </w:rPr>
        <w:t>revise the methodology and approach for developing the audit plan</w:t>
      </w:r>
      <w:r w:rsidR="005F3F07" w:rsidRPr="004B6CD8">
        <w:rPr>
          <w:rFonts w:eastAsia="Calibri" w:cs="Times New Roman"/>
          <w:noProof/>
        </w:rPr>
        <w:t>.</w:t>
      </w:r>
    </w:p>
    <w:p w14:paraId="147276EE" w14:textId="6757900F" w:rsidR="00A9637E" w:rsidRPr="00874637" w:rsidRDefault="006E1911" w:rsidP="00F131BA">
      <w:pPr>
        <w:spacing w:after="120"/>
        <w:rPr>
          <w:noProof/>
          <w:lang w:val="en-IE"/>
        </w:rPr>
      </w:pPr>
      <w:r w:rsidRPr="00874637">
        <w:rPr>
          <w:noProof/>
          <w:lang w:val="en-IE"/>
        </w:rPr>
        <w:t xml:space="preserve">Recommendation No </w:t>
      </w:r>
      <w:r w:rsidR="00BF2514" w:rsidRPr="00874637">
        <w:rPr>
          <w:noProof/>
          <w:lang w:val="en-IE"/>
        </w:rPr>
        <w:t>4, o</w:t>
      </w:r>
      <w:r w:rsidR="00A9637E" w:rsidRPr="00874637">
        <w:rPr>
          <w:noProof/>
          <w:lang w:val="en-IE"/>
        </w:rPr>
        <w:t xml:space="preserve">n </w:t>
      </w:r>
      <w:r w:rsidR="00A9637E" w:rsidRPr="00874637">
        <w:rPr>
          <w:rStyle w:val="BoldAccent1"/>
          <w:noProof/>
          <w:color w:val="003399" w:themeColor="text2"/>
          <w:lang w:val="en-IE"/>
        </w:rPr>
        <w:t xml:space="preserve">interruptions, suspensions and financial corrections processes, DG HOME </w:t>
      </w:r>
      <w:r w:rsidR="00A9637E" w:rsidRPr="00874637">
        <w:rPr>
          <w:noProof/>
          <w:lang w:val="en-IE"/>
        </w:rPr>
        <w:t>should</w:t>
      </w:r>
      <w:r w:rsidR="00011F5C" w:rsidRPr="00874637">
        <w:rPr>
          <w:noProof/>
          <w:lang w:val="en-IE"/>
        </w:rPr>
        <w:t>:</w:t>
      </w:r>
      <w:r w:rsidR="00A9637E" w:rsidRPr="00874637">
        <w:rPr>
          <w:noProof/>
          <w:lang w:val="en-IE"/>
        </w:rPr>
        <w:t xml:space="preserve"> </w:t>
      </w:r>
    </w:p>
    <w:p w14:paraId="458E3426" w14:textId="1DF497FA" w:rsidR="00A9637E" w:rsidRPr="004B6CD8" w:rsidRDefault="00A9637E" w:rsidP="0003593D">
      <w:pPr>
        <w:pStyle w:val="amprLISTtealbullets-L1"/>
        <w:spacing w:after="240"/>
        <w:ind w:left="782" w:hanging="357"/>
        <w:rPr>
          <w:noProof/>
        </w:rPr>
      </w:pPr>
      <w:r w:rsidRPr="004B6CD8">
        <w:rPr>
          <w:noProof/>
        </w:rPr>
        <w:t>establish and finalise procedures for application of preventive and corrective measures</w:t>
      </w:r>
      <w:r w:rsidR="00305574" w:rsidRPr="004B6CD8">
        <w:rPr>
          <w:noProof/>
        </w:rPr>
        <w: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1464D2" w:rsidRPr="00FB5A04" w14:paraId="77A2C2E0" w14:textId="77777777" w:rsidTr="5EFED56A">
        <w:tc>
          <w:tcPr>
            <w:tcW w:w="9057" w:type="dxa"/>
          </w:tcPr>
          <w:p w14:paraId="25691CA8" w14:textId="69D24597" w:rsidR="001464D2" w:rsidRPr="004B6CD8" w:rsidRDefault="001464D2">
            <w:pPr>
              <w:pStyle w:val="boldblue"/>
            </w:pPr>
            <w:r w:rsidRPr="004B6CD8">
              <w:t>Additional information provided by DG</w:t>
            </w:r>
            <w:r w:rsidR="00A9637E" w:rsidRPr="004B6CD8">
              <w:t xml:space="preserve"> HOME</w:t>
            </w:r>
            <w:r w:rsidRPr="004B6CD8">
              <w:t xml:space="preserve"> on the </w:t>
            </w:r>
            <w:r w:rsidR="005C3E0A">
              <w:t>action plan</w:t>
            </w:r>
          </w:p>
          <w:p w14:paraId="48630C58" w14:textId="7C5BE657" w:rsidR="005C3E0A" w:rsidRPr="004B6CD8" w:rsidRDefault="19CB47CF" w:rsidP="00C91759">
            <w:pPr>
              <w:pStyle w:val="boldblue"/>
              <w:rPr>
                <w:b w:val="0"/>
                <w:bCs w:val="0"/>
                <w:color w:val="auto"/>
              </w:rPr>
            </w:pPr>
            <w:r w:rsidRPr="5EFED56A">
              <w:rPr>
                <w:b w:val="0"/>
                <w:bCs w:val="0"/>
                <w:color w:val="auto"/>
              </w:rPr>
              <w:t>DG HOME established an action plan t</w:t>
            </w:r>
            <w:r w:rsidR="31F51B28" w:rsidRPr="5EFED56A">
              <w:rPr>
                <w:b w:val="0"/>
                <w:bCs w:val="0"/>
                <w:color w:val="auto"/>
              </w:rPr>
              <w:t xml:space="preserve">o address </w:t>
            </w:r>
            <w:r w:rsidRPr="5EFED56A">
              <w:rPr>
                <w:b w:val="0"/>
                <w:bCs w:val="0"/>
                <w:color w:val="auto"/>
              </w:rPr>
              <w:t xml:space="preserve">all </w:t>
            </w:r>
            <w:r w:rsidR="31F51B28" w:rsidRPr="5EFED56A">
              <w:rPr>
                <w:b w:val="0"/>
                <w:bCs w:val="0"/>
                <w:color w:val="auto"/>
              </w:rPr>
              <w:t xml:space="preserve">recommendations, </w:t>
            </w:r>
            <w:r w:rsidR="1A428D31" w:rsidRPr="5EFED56A">
              <w:rPr>
                <w:b w:val="0"/>
                <w:bCs w:val="0"/>
                <w:color w:val="auto"/>
              </w:rPr>
              <w:t>assessed</w:t>
            </w:r>
            <w:r w:rsidR="31F51B28" w:rsidRPr="5EFED56A">
              <w:rPr>
                <w:b w:val="0"/>
                <w:bCs w:val="0"/>
                <w:color w:val="auto"/>
              </w:rPr>
              <w:t xml:space="preserve"> </w:t>
            </w:r>
            <w:r w:rsidRPr="5EFED56A">
              <w:rPr>
                <w:b w:val="0"/>
                <w:bCs w:val="0"/>
                <w:color w:val="auto"/>
              </w:rPr>
              <w:t xml:space="preserve">as satisfactory </w:t>
            </w:r>
            <w:r w:rsidR="31F51B28" w:rsidRPr="5EFED56A">
              <w:rPr>
                <w:b w:val="0"/>
                <w:bCs w:val="0"/>
                <w:color w:val="auto"/>
              </w:rPr>
              <w:t xml:space="preserve">by the IAS. By the end of 2025, DG HOME </w:t>
            </w:r>
            <w:r w:rsidR="3C9C08EF" w:rsidRPr="5EFED56A">
              <w:rPr>
                <w:b w:val="0"/>
                <w:bCs w:val="0"/>
                <w:color w:val="auto"/>
              </w:rPr>
              <w:t xml:space="preserve">reported as </w:t>
            </w:r>
            <w:r w:rsidR="31F51B28" w:rsidRPr="5EFED56A">
              <w:rPr>
                <w:b w:val="0"/>
                <w:bCs w:val="0"/>
                <w:color w:val="auto"/>
              </w:rPr>
              <w:t xml:space="preserve">implemented the recommendation </w:t>
            </w:r>
            <w:r w:rsidR="5DF38525" w:rsidRPr="5EFED56A">
              <w:rPr>
                <w:b w:val="0"/>
                <w:bCs w:val="0"/>
                <w:color w:val="auto"/>
              </w:rPr>
              <w:t>on the</w:t>
            </w:r>
            <w:r w:rsidR="31F51B28" w:rsidRPr="5EFED56A">
              <w:rPr>
                <w:b w:val="0"/>
                <w:bCs w:val="0"/>
                <w:color w:val="auto"/>
              </w:rPr>
              <w:t xml:space="preserve"> audit strategy and </w:t>
            </w:r>
            <w:r w:rsidR="5DF38525" w:rsidRPr="5EFED56A">
              <w:rPr>
                <w:b w:val="0"/>
                <w:bCs w:val="0"/>
                <w:color w:val="auto"/>
              </w:rPr>
              <w:t>the recommendation on</w:t>
            </w:r>
            <w:r w:rsidR="00A929F0">
              <w:rPr>
                <w:b w:val="0"/>
                <w:bCs w:val="0"/>
                <w:color w:val="auto"/>
              </w:rPr>
              <w:t xml:space="preserve"> the</w:t>
            </w:r>
            <w:r w:rsidR="5DF38525" w:rsidRPr="5EFED56A">
              <w:rPr>
                <w:b w:val="0"/>
                <w:bCs w:val="0"/>
                <w:color w:val="auto"/>
              </w:rPr>
              <w:t xml:space="preserve"> </w:t>
            </w:r>
            <w:r w:rsidR="31F51B28" w:rsidRPr="5EFED56A">
              <w:rPr>
                <w:b w:val="0"/>
                <w:bCs w:val="0"/>
                <w:color w:val="auto"/>
              </w:rPr>
              <w:t xml:space="preserve">risk assessment. DG HOME </w:t>
            </w:r>
            <w:r w:rsidR="61428652" w:rsidRPr="5EFED56A">
              <w:rPr>
                <w:b w:val="0"/>
                <w:bCs w:val="0"/>
                <w:color w:val="auto"/>
              </w:rPr>
              <w:t xml:space="preserve">considered </w:t>
            </w:r>
            <w:r w:rsidR="5DF38525" w:rsidRPr="5EFED56A">
              <w:rPr>
                <w:b w:val="0"/>
                <w:bCs w:val="0"/>
                <w:color w:val="auto"/>
              </w:rPr>
              <w:t>the recommendation on establishing and finalising the procedures for application of preventive and corrective measures</w:t>
            </w:r>
            <w:r w:rsidR="5D95F0E9" w:rsidRPr="5EFED56A">
              <w:rPr>
                <w:b w:val="0"/>
                <w:bCs w:val="0"/>
                <w:color w:val="auto"/>
              </w:rPr>
              <w:t xml:space="preserve"> </w:t>
            </w:r>
            <w:r w:rsidR="7A8D3BE4" w:rsidRPr="5EFED56A">
              <w:rPr>
                <w:b w:val="0"/>
                <w:bCs w:val="0"/>
                <w:color w:val="auto"/>
              </w:rPr>
              <w:t xml:space="preserve">to be implemented </w:t>
            </w:r>
            <w:r w:rsidR="5D95F0E9" w:rsidRPr="5EFED56A">
              <w:rPr>
                <w:b w:val="0"/>
                <w:bCs w:val="0"/>
                <w:color w:val="auto"/>
              </w:rPr>
              <w:t>in the first quarter of 2026</w:t>
            </w:r>
            <w:r w:rsidR="5DF38525" w:rsidRPr="5EFED56A">
              <w:rPr>
                <w:b w:val="0"/>
                <w:bCs w:val="0"/>
                <w:color w:val="auto"/>
              </w:rPr>
              <w:t xml:space="preserve">. </w:t>
            </w:r>
          </w:p>
          <w:p w14:paraId="4C7D2289" w14:textId="093D2B81" w:rsidR="001464D2" w:rsidRPr="004B6CD8" w:rsidRDefault="00C91759" w:rsidP="008A53FC">
            <w:pPr>
              <w:pStyle w:val="boldblue"/>
            </w:pPr>
            <w:r w:rsidRPr="008A53FC">
              <w:rPr>
                <w:b w:val="0"/>
                <w:bCs w:val="0"/>
                <w:color w:val="auto"/>
              </w:rPr>
              <w:t xml:space="preserve">The remaining actions related to the partially implemented recommendation </w:t>
            </w:r>
            <w:r w:rsidR="00741715">
              <w:rPr>
                <w:b w:val="0"/>
                <w:bCs w:val="0"/>
                <w:color w:val="auto"/>
              </w:rPr>
              <w:t xml:space="preserve">on </w:t>
            </w:r>
            <w:r w:rsidR="00741715" w:rsidRPr="00741715">
              <w:rPr>
                <w:b w:val="0"/>
                <w:bCs w:val="0"/>
                <w:color w:val="auto"/>
              </w:rPr>
              <w:t>revis</w:t>
            </w:r>
            <w:r w:rsidR="00741715">
              <w:rPr>
                <w:b w:val="0"/>
                <w:bCs w:val="0"/>
                <w:color w:val="auto"/>
              </w:rPr>
              <w:t>ing</w:t>
            </w:r>
            <w:r w:rsidR="00741715" w:rsidRPr="00741715">
              <w:rPr>
                <w:b w:val="0"/>
                <w:bCs w:val="0"/>
                <w:color w:val="auto"/>
              </w:rPr>
              <w:t xml:space="preserve"> the methodology and approach for developing the audit plan</w:t>
            </w:r>
            <w:r w:rsidR="00741715">
              <w:rPr>
                <w:b w:val="0"/>
                <w:bCs w:val="0"/>
                <w:color w:val="auto"/>
              </w:rPr>
              <w:t xml:space="preserve"> </w:t>
            </w:r>
            <w:r w:rsidRPr="008A53FC">
              <w:rPr>
                <w:b w:val="0"/>
                <w:bCs w:val="0"/>
                <w:color w:val="auto"/>
              </w:rPr>
              <w:t>are ongoing. DG HOME continues monitor</w:t>
            </w:r>
            <w:r w:rsidR="00741715">
              <w:rPr>
                <w:b w:val="0"/>
                <w:bCs w:val="0"/>
                <w:color w:val="auto"/>
              </w:rPr>
              <w:t>ing</w:t>
            </w:r>
            <w:r w:rsidRPr="008A53FC">
              <w:rPr>
                <w:b w:val="0"/>
                <w:bCs w:val="0"/>
                <w:color w:val="auto"/>
              </w:rPr>
              <w:t xml:space="preserve"> the execution of the audit plan (the audits for 2025 have already been performed). In order to fully implement the recommendation, DG HOME will report any deviations in the revised audit work programme and incorporate the results into future updates of the audit plan.</w:t>
            </w:r>
          </w:p>
        </w:tc>
      </w:tr>
    </w:tbl>
    <w:p w14:paraId="6200FCB7" w14:textId="02EC999A" w:rsidR="00FC2817" w:rsidRPr="004B6CD8" w:rsidRDefault="00FC2817" w:rsidP="00D74BE0">
      <w:pPr>
        <w:pStyle w:val="amprH3Title2-Numbered-11"/>
        <w:numPr>
          <w:ilvl w:val="1"/>
          <w:numId w:val="51"/>
        </w:numPr>
        <w:rPr>
          <w:noProof/>
        </w:rPr>
      </w:pPr>
      <w:bookmarkStart w:id="39" w:name="_Toc231235430"/>
      <w:r w:rsidRPr="004B6CD8">
        <w:rPr>
          <w:noProof/>
        </w:rPr>
        <w:t>Amendments of the Common Agricultural Policy national strategic plans</w:t>
      </w:r>
      <w:r w:rsidR="00883D7A">
        <w:rPr>
          <w:noProof/>
        </w:rPr>
        <w:t xml:space="preserve"> (</w:t>
      </w:r>
      <w:r w:rsidR="008A53FC">
        <w:rPr>
          <w:noProof/>
        </w:rPr>
        <w:t>D</w:t>
      </w:r>
      <w:r w:rsidR="00883D7A">
        <w:rPr>
          <w:noProof/>
        </w:rPr>
        <w:t>G AGRI)</w:t>
      </w:r>
      <w:bookmarkEnd w:id="39"/>
    </w:p>
    <w:p w14:paraId="491C6AC4" w14:textId="77777777" w:rsidR="00FC2817" w:rsidRPr="004B6CD8" w:rsidRDefault="00FC2817" w:rsidP="00FC2817">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in DG AGRI the adequacy of the design and the effectiveness and efficiency of the implementation of the internal control processes for reviewing and approving the amendments to the Common Agricultural Policy national strategic plans, including the review and follow-up of notifications.</w:t>
      </w:r>
    </w:p>
    <w:p w14:paraId="6238B559" w14:textId="77777777" w:rsidR="00FC2817" w:rsidRPr="004B6CD8" w:rsidRDefault="00FC2817" w:rsidP="00FC2817">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3491F07F" w14:textId="77777777" w:rsidR="00FC2817" w:rsidRPr="004B6CD8" w:rsidRDefault="00FC2817" w:rsidP="00FC2817">
      <w:pPr>
        <w:jc w:val="both"/>
        <w:rPr>
          <w:rFonts w:cs="Times New Roman"/>
          <w:i/>
          <w:iCs/>
          <w:noProof/>
          <w:color w:val="003399" w:themeColor="text2"/>
          <w:lang w:val="en-GB"/>
        </w:rPr>
      </w:pPr>
      <w:r w:rsidRPr="004B6CD8">
        <w:rPr>
          <w:rFonts w:cs="Times New Roman"/>
          <w:i/>
          <w:iCs/>
          <w:noProof/>
          <w:color w:val="003399" w:themeColor="text2"/>
          <w:lang w:val="en-GB"/>
        </w:rPr>
        <w:t>Has DG AGRI adequately designed its processes for the review and approval of the Common Agricultural Policy strategic plans amendments?</w:t>
      </w:r>
    </w:p>
    <w:p w14:paraId="5DC417D2" w14:textId="6E36F51E" w:rsidR="00FC2817" w:rsidRPr="004B6CD8" w:rsidRDefault="00FC2817" w:rsidP="00FC281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Overall, DG AGRI has designed adequate and detailed procedures for the review and approval of the Common Agricultural Policy amendments and notifications, which are presented in its </w:t>
      </w:r>
      <w:r w:rsidR="0069065C">
        <w:rPr>
          <w:rFonts w:eastAsia="Calibri" w:cs="Times New Roman"/>
          <w:noProof/>
          <w:kern w:val="0"/>
          <w:lang w:val="en-GB"/>
          <w14:ligatures w14:val="none"/>
        </w:rPr>
        <w:t>V</w:t>
      </w:r>
      <w:r w:rsidRPr="004B6CD8">
        <w:rPr>
          <w:rFonts w:eastAsia="Calibri" w:cs="Times New Roman"/>
          <w:noProof/>
          <w:kern w:val="0"/>
          <w:lang w:val="en-GB"/>
          <w14:ligatures w14:val="none"/>
        </w:rPr>
        <w:t>ademecum, and which are updated on a regular basis. It has also designed templates for communicating with Member States. Moreover, DG AGRI has set up the New Consistency Board to address outstanding technical issues in the implementation of the Common Agricultural Policy strategic plans (including when reviewing amendment requests), ensuring consistent and coordinated responses. This is especially important given the complexity of the Common Agricultural Policy legal framework.</w:t>
      </w:r>
    </w:p>
    <w:p w14:paraId="46D2AB68" w14:textId="77777777" w:rsidR="00FC2817" w:rsidRPr="004B6CD8" w:rsidRDefault="00FC2817" w:rsidP="00FC2817">
      <w:pPr>
        <w:jc w:val="both"/>
        <w:rPr>
          <w:rFonts w:eastAsia="Calibri" w:cs="Times New Roman"/>
          <w:noProof/>
          <w:kern w:val="0"/>
          <w:lang w:val="en-GB"/>
          <w14:ligatures w14:val="none"/>
        </w:rPr>
      </w:pPr>
      <w:r w:rsidRPr="004B6CD8">
        <w:rPr>
          <w:rFonts w:eastAsia="Calibri" w:cs="Times New Roman"/>
          <w:noProof/>
          <w:kern w:val="0"/>
          <w:lang w:val="en-GB"/>
          <w14:ligatures w14:val="none"/>
        </w:rPr>
        <w:t>However, the mandate and rules of functioning of the New Consistency Board were not fully clear as regards New Consistency Board conclusions requiring formal endorsement. After the fieldwork ended, DG AGRI adopted a revised mandate clarifying those elements.</w:t>
      </w:r>
    </w:p>
    <w:p w14:paraId="1B067FA3" w14:textId="77777777" w:rsidR="00FC2817" w:rsidRPr="004B6CD8" w:rsidRDefault="00FC2817" w:rsidP="00FC2817">
      <w:pPr>
        <w:jc w:val="both"/>
        <w:rPr>
          <w:rFonts w:eastAsia="Calibri" w:cs="Times New Roman"/>
          <w:noProof/>
          <w:kern w:val="0"/>
          <w:lang w:val="en-GB"/>
          <w14:ligatures w14:val="none"/>
        </w:rPr>
      </w:pPr>
      <w:r w:rsidRPr="004B6CD8">
        <w:rPr>
          <w:rFonts w:eastAsia="Calibri" w:cs="Times New Roman"/>
          <w:noProof/>
          <w:kern w:val="0"/>
          <w:lang w:val="en-GB"/>
          <w14:ligatures w14:val="none"/>
        </w:rPr>
        <w:t>In addition, there was a lack of clarity on the date of start of eligibility for approved changes in the European Agricultural Fund for Rural Development interventions which were previously notified but found non-compliant with the legal basis for notifications. For future notifications and amendments, this should be clarified, due to an ongoing Common Agricultural Policy Omnibus Regulation which will modify the process for amendments and is planned to enter into force in January 2026. In addition, DG AGRI had also not provided clear guidance to Member States on how to indicate in the amendments which changes were notified and at which date.</w:t>
      </w:r>
    </w:p>
    <w:p w14:paraId="635B554C" w14:textId="77777777" w:rsidR="00FC2817" w:rsidRPr="004B6CD8" w:rsidRDefault="00FC2817" w:rsidP="00FC2817">
      <w:pPr>
        <w:jc w:val="both"/>
        <w:rPr>
          <w:rFonts w:eastAsia="Calibri" w:cs="Times New Roman"/>
          <w:noProof/>
          <w:kern w:val="0"/>
          <w:lang w:val="en-GB"/>
          <w14:ligatures w14:val="none"/>
        </w:rPr>
      </w:pPr>
      <w:r w:rsidRPr="004B6CD8">
        <w:rPr>
          <w:rFonts w:eastAsia="Calibri" w:cs="Times New Roman"/>
          <w:noProof/>
          <w:kern w:val="0"/>
          <w:lang w:val="en-GB"/>
          <w14:ligatures w14:val="none"/>
        </w:rPr>
        <w:t>Furthermore, there was a lack of clarity on what can be accepted in terms of deviations between the overall target numerators of result indicators and related outputs (in case of direct link between the two). Finally, the requirements to Member States for the presentation of planned outputs did not allow to identify the planned aggregated outputs for a group of unit amounts, in case the intervention also benefited from additional national financing generating outputs.</w:t>
      </w:r>
    </w:p>
    <w:p w14:paraId="41E43095" w14:textId="77777777" w:rsidR="00FC2817" w:rsidRPr="004B6CD8" w:rsidRDefault="00FC2817" w:rsidP="00FC2817">
      <w:pPr>
        <w:jc w:val="both"/>
        <w:rPr>
          <w:rFonts w:cs="Times New Roman"/>
          <w:i/>
          <w:iCs/>
          <w:noProof/>
          <w:color w:val="003399" w:themeColor="text2"/>
          <w:lang w:val="en-GB"/>
        </w:rPr>
      </w:pPr>
      <w:r w:rsidRPr="004B6CD8">
        <w:rPr>
          <w:rFonts w:cs="Times New Roman"/>
          <w:i/>
          <w:iCs/>
          <w:noProof/>
          <w:color w:val="003399" w:themeColor="text2"/>
          <w:lang w:val="en-GB"/>
        </w:rPr>
        <w:t>Does DG AGRI effectively and efficiently implement its processes for the review and approval of the Common Agricultural Policy strategic plan amendments?</w:t>
      </w:r>
    </w:p>
    <w:p w14:paraId="6A289426" w14:textId="1D2E0A18" w:rsidR="00FC2817" w:rsidRPr="004B6CD8" w:rsidRDefault="00FC2817" w:rsidP="00FC281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Overall, DG AGRI has adequately implemented its procedures for the review and approval of the Common Agricultural Policy amendments. In addition, DG AGRI effectively monitors the progress of the assessment and approval of amendments including through regular monitoring of deadlines and sharing of information within DG AGRI and with other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involved. As a result, it has managed to approve the amendment requests within the legal deadline, despite the significant number of amendment requests and the large volume of changes included in each of them, which impose a continuous heavy workload on DG AGRI staff.</w:t>
      </w:r>
    </w:p>
    <w:p w14:paraId="31C875B5" w14:textId="6E1E1874" w:rsidR="00FC2817" w:rsidRPr="004B6CD8" w:rsidRDefault="00FC2817" w:rsidP="00FC281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However, there were some misalignments between the procedures prescribed in the </w:t>
      </w:r>
      <w:r w:rsidR="00111719">
        <w:rPr>
          <w:rFonts w:eastAsia="Calibri" w:cs="Times New Roman"/>
          <w:noProof/>
          <w:kern w:val="0"/>
          <w:lang w:val="en-GB"/>
          <w14:ligatures w14:val="none"/>
        </w:rPr>
        <w:t>V</w:t>
      </w:r>
      <w:r w:rsidRPr="004B6CD8">
        <w:rPr>
          <w:rFonts w:eastAsia="Calibri" w:cs="Times New Roman"/>
          <w:noProof/>
          <w:kern w:val="0"/>
          <w:lang w:val="en-GB"/>
          <w14:ligatures w14:val="none"/>
        </w:rPr>
        <w:t xml:space="preserve">ademecum and the practices observed with regards to the pre-consultation with other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and the consultation within DG AGRI during the assessment of the amendment request. In addition, there was a misalignment between the </w:t>
      </w:r>
      <w:r w:rsidR="00111719">
        <w:rPr>
          <w:rFonts w:eastAsia="Calibri" w:cs="Times New Roman"/>
          <w:noProof/>
          <w:kern w:val="0"/>
          <w:lang w:val="en-GB"/>
          <w14:ligatures w14:val="none"/>
        </w:rPr>
        <w:t>V</w:t>
      </w:r>
      <w:r w:rsidRPr="004B6CD8">
        <w:rPr>
          <w:rFonts w:eastAsia="Calibri" w:cs="Times New Roman"/>
          <w:noProof/>
          <w:kern w:val="0"/>
          <w:lang w:val="en-GB"/>
          <w14:ligatures w14:val="none"/>
        </w:rPr>
        <w:t>ademecum and the practice as regards the use of the return for corrections.</w:t>
      </w:r>
    </w:p>
    <w:p w14:paraId="72587CEA" w14:textId="2E4C009E" w:rsidR="00FC2817" w:rsidRPr="004B6CD8" w:rsidRDefault="00FC2817" w:rsidP="00FC2817">
      <w:pPr>
        <w:jc w:val="both"/>
        <w:rPr>
          <w:rFonts w:eastAsia="Calibri" w:cs="Times New Roman"/>
          <w:noProof/>
          <w:kern w:val="0"/>
          <w:lang w:val="en-GB"/>
          <w14:ligatures w14:val="none"/>
        </w:rPr>
      </w:pPr>
      <w:r w:rsidRPr="004B6CD8">
        <w:rPr>
          <w:rFonts w:eastAsia="Calibri" w:cs="Times New Roman"/>
          <w:noProof/>
          <w:kern w:val="0"/>
          <w:lang w:val="en-GB"/>
          <w14:ligatures w14:val="none"/>
        </w:rPr>
        <w:t>Furthermore, based on sample testing, corrections of non-compliance in the Common Agricultural Polic</w:t>
      </w:r>
      <w:r w:rsidR="00011F5C">
        <w:rPr>
          <w:rFonts w:eastAsia="Calibri" w:cs="Times New Roman"/>
          <w:noProof/>
          <w:kern w:val="0"/>
          <w:lang w:val="en-GB"/>
          <w14:ligatures w14:val="none"/>
        </w:rPr>
        <w:t>y</w:t>
      </w:r>
      <w:r w:rsidRPr="004B6CD8">
        <w:rPr>
          <w:rFonts w:eastAsia="Calibri" w:cs="Times New Roman"/>
          <w:noProof/>
          <w:kern w:val="0"/>
          <w:lang w:val="en-GB"/>
          <w14:ligatures w14:val="none"/>
        </w:rPr>
        <w:t xml:space="preserve"> strategic plans identified after their approval were not always requested from the Member States.</w:t>
      </w:r>
    </w:p>
    <w:p w14:paraId="47BD06E2" w14:textId="7DE6E529" w:rsidR="00FC2817" w:rsidRPr="004B6CD8" w:rsidRDefault="00FC2817" w:rsidP="00FC281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Finally, there were some gaps as well as information not up to date in the documentation of the assessment of some of the amendment requests reviewed. In addition, not all approved amendments and related ‘At a glance’ documents were published on time on the Europa website, contrary to the instructions in the </w:t>
      </w:r>
      <w:r w:rsidR="00111719">
        <w:rPr>
          <w:rFonts w:eastAsia="Calibri" w:cs="Times New Roman"/>
          <w:noProof/>
          <w:kern w:val="0"/>
          <w:lang w:val="en-GB"/>
          <w14:ligatures w14:val="none"/>
        </w:rPr>
        <w:t>V</w:t>
      </w:r>
      <w:r w:rsidRPr="004B6CD8">
        <w:rPr>
          <w:rFonts w:eastAsia="Calibri" w:cs="Times New Roman"/>
          <w:noProof/>
          <w:kern w:val="0"/>
          <w:lang w:val="en-GB"/>
          <w14:ligatures w14:val="none"/>
        </w:rPr>
        <w:t>ademecum.</w:t>
      </w:r>
    </w:p>
    <w:p w14:paraId="39BDD8E7" w14:textId="77777777" w:rsidR="00FC2817" w:rsidRPr="004B6CD8" w:rsidRDefault="00FC2817" w:rsidP="00FC2817">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4336F6BA" w14:textId="1BD22D9E" w:rsidR="00FC2817" w:rsidRPr="004B6CD8" w:rsidRDefault="00FC2817" w:rsidP="00FC2817">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DG AGRI has adequately designed and effectively and efficiently implemented internal control processes for reviewing and approving the amendments to the Common Agricultural Policy national strategic plans, including the review and follow-up of notifications, except for two very important issues which relate to the date of start of eligibility of European Agricultural Fund for Rural Development notified changes, as well as to the clarification on the acceptable deviations between result indicators and outputs and correction of detected non-compliances in the Common Agricultural Policy strategic plans.</w:t>
      </w:r>
    </w:p>
    <w:p w14:paraId="791F3016" w14:textId="7CA3F13F" w:rsidR="00FC2817" w:rsidRPr="004B6CD8" w:rsidRDefault="00521085" w:rsidP="00FC2817">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401A785F" w14:textId="386B092E" w:rsidR="00FC2817" w:rsidRPr="00874637" w:rsidRDefault="001771BF" w:rsidP="66263CC9">
      <w:pPr>
        <w:jc w:val="both"/>
        <w:rPr>
          <w:rFonts w:eastAsia="Calibri" w:cs="Times New Roman"/>
          <w:noProof/>
          <w:kern w:val="0"/>
          <w:lang w:val="en-IE"/>
          <w14:ligatures w14:val="none"/>
        </w:rPr>
      </w:pPr>
      <w:r w:rsidRPr="00874637">
        <w:rPr>
          <w:rFonts w:eastAsia="Calibri" w:cs="Times New Roman"/>
          <w:noProof/>
          <w:kern w:val="0"/>
          <w:lang w:val="en-IE"/>
          <w14:ligatures w14:val="none"/>
        </w:rPr>
        <w:t xml:space="preserve">Recommendation No </w:t>
      </w:r>
      <w:r w:rsidR="00915A2D" w:rsidRPr="00874637">
        <w:rPr>
          <w:rFonts w:eastAsia="Calibri" w:cs="Times New Roman"/>
          <w:noProof/>
          <w:kern w:val="0"/>
          <w:lang w:val="en-IE"/>
          <w14:ligatures w14:val="none"/>
        </w:rPr>
        <w:t>4, o</w:t>
      </w:r>
      <w:r w:rsidR="00FC2817" w:rsidRPr="00874637">
        <w:rPr>
          <w:rFonts w:eastAsia="Calibri" w:cs="Times New Roman"/>
          <w:noProof/>
          <w:kern w:val="0"/>
          <w:lang w:val="en-IE"/>
          <w14:ligatures w14:val="none"/>
        </w:rPr>
        <w:t xml:space="preserve">n the </w:t>
      </w:r>
      <w:r w:rsidR="00FC2817" w:rsidRPr="00874637">
        <w:rPr>
          <w:rStyle w:val="BoldAccent1"/>
          <w:noProof/>
          <w:color w:val="003399" w:themeColor="text2"/>
          <w:lang w:val="en-IE"/>
        </w:rPr>
        <w:t>notifications and date of start of eligibility, DG AGRI</w:t>
      </w:r>
      <w:r w:rsidR="00FC2817" w:rsidRPr="00874637">
        <w:rPr>
          <w:rFonts w:eastAsia="Calibri" w:cs="Times New Roman"/>
          <w:noProof/>
          <w:kern w:val="0"/>
          <w:lang w:val="en-IE"/>
          <w14:ligatures w14:val="none"/>
        </w:rPr>
        <w:t xml:space="preserve"> should</w:t>
      </w:r>
      <w:r w:rsidR="00915A2D" w:rsidRPr="00874637">
        <w:rPr>
          <w:rFonts w:eastAsia="Calibri" w:cs="Times New Roman"/>
          <w:noProof/>
          <w:kern w:val="0"/>
          <w:lang w:val="en-IE"/>
          <w14:ligatures w14:val="none"/>
        </w:rPr>
        <w:t>:</w:t>
      </w:r>
    </w:p>
    <w:p w14:paraId="05B9F7B4" w14:textId="7B7B70F8" w:rsidR="00FC2817" w:rsidRPr="004B6CD8" w:rsidRDefault="00FC2817" w:rsidP="00FC2817">
      <w:pPr>
        <w:pStyle w:val="amprLISTtealbullets-L1"/>
        <w:rPr>
          <w:rFonts w:eastAsia="Calibri" w:cs="Times New Roman"/>
          <w:noProof/>
        </w:rPr>
      </w:pPr>
      <w:r w:rsidRPr="004B6CD8">
        <w:rPr>
          <w:rFonts w:eastAsia="Calibri" w:cs="Times New Roman"/>
          <w:noProof/>
        </w:rPr>
        <w:t>ensure clarity on the date of eligibility for notified changes</w:t>
      </w:r>
      <w:r w:rsidR="006A5808" w:rsidRPr="004B6CD8">
        <w:rPr>
          <w:rFonts w:eastAsia="Calibri" w:cs="Times New Roman"/>
          <w:noProof/>
        </w:rPr>
        <w:t>.</w:t>
      </w:r>
    </w:p>
    <w:p w14:paraId="3EA25E8C" w14:textId="7D4BF6F5" w:rsidR="00FC2817" w:rsidRPr="00874637" w:rsidRDefault="001771BF" w:rsidP="66263CC9">
      <w:pPr>
        <w:jc w:val="both"/>
        <w:rPr>
          <w:rFonts w:eastAsia="Calibri" w:cs="Times New Roman"/>
          <w:noProof/>
          <w:lang w:val="en-IE"/>
        </w:rPr>
      </w:pPr>
      <w:r w:rsidRPr="00874637">
        <w:rPr>
          <w:rFonts w:eastAsia="Calibri" w:cs="Times New Roman"/>
          <w:noProof/>
          <w:kern w:val="0"/>
          <w:lang w:val="en-IE"/>
          <w14:ligatures w14:val="none"/>
        </w:rPr>
        <w:t xml:space="preserve">Recommendation No </w:t>
      </w:r>
      <w:r w:rsidR="00915A2D" w:rsidRPr="00874637">
        <w:rPr>
          <w:rFonts w:eastAsia="Calibri" w:cs="Times New Roman"/>
          <w:noProof/>
          <w:kern w:val="0"/>
          <w:lang w:val="en-IE"/>
          <w14:ligatures w14:val="none"/>
        </w:rPr>
        <w:t>6 and 7, o</w:t>
      </w:r>
      <w:r w:rsidR="00FC2817" w:rsidRPr="00874637">
        <w:rPr>
          <w:rFonts w:eastAsia="Calibri" w:cs="Times New Roman"/>
          <w:noProof/>
          <w:kern w:val="0"/>
          <w:lang w:val="en-IE"/>
          <w14:ligatures w14:val="none"/>
        </w:rPr>
        <w:t xml:space="preserve">n </w:t>
      </w:r>
      <w:r w:rsidR="00FC2817" w:rsidRPr="00874637">
        <w:rPr>
          <w:rStyle w:val="BoldAccent1"/>
          <w:noProof/>
          <w:color w:val="003399" w:themeColor="text2"/>
          <w:lang w:val="en-IE"/>
        </w:rPr>
        <w:t>the errors and inconsistencies in the Common Agricultural Policy strategic plans, DG AGRI</w:t>
      </w:r>
      <w:r w:rsidR="00FC2817" w:rsidRPr="00874637">
        <w:rPr>
          <w:rFonts w:eastAsia="Calibri" w:cs="Times New Roman"/>
          <w:noProof/>
          <w:kern w:val="0"/>
          <w:lang w:val="en-IE"/>
          <w14:ligatures w14:val="none"/>
        </w:rPr>
        <w:t xml:space="preserve"> should</w:t>
      </w:r>
      <w:r w:rsidR="00915A2D" w:rsidRPr="00874637">
        <w:rPr>
          <w:rFonts w:eastAsia="Calibri" w:cs="Times New Roman"/>
          <w:noProof/>
          <w:kern w:val="0"/>
          <w:lang w:val="en-IE"/>
          <w14:ligatures w14:val="none"/>
        </w:rPr>
        <w:t>:</w:t>
      </w:r>
    </w:p>
    <w:p w14:paraId="5E380751" w14:textId="49A9E370" w:rsidR="00FC2817" w:rsidRPr="004B6CD8" w:rsidRDefault="00FC2817" w:rsidP="00FC2817">
      <w:pPr>
        <w:pStyle w:val="amprLISTtealbullets-L1"/>
        <w:rPr>
          <w:rFonts w:eastAsia="Calibri" w:cs="Times New Roman"/>
          <w:noProof/>
        </w:rPr>
      </w:pPr>
      <w:r w:rsidRPr="004B6CD8">
        <w:rPr>
          <w:rFonts w:eastAsia="Calibri" w:cs="Times New Roman"/>
          <w:noProof/>
        </w:rPr>
        <w:t>request corrections on detected non-compliances in Common Agricultural Policy strategic plans</w:t>
      </w:r>
      <w:r w:rsidR="006A5808" w:rsidRPr="004B6CD8">
        <w:rPr>
          <w:rFonts w:eastAsia="Calibri" w:cs="Times New Roman"/>
          <w:noProof/>
        </w:rPr>
        <w:t>.</w:t>
      </w:r>
    </w:p>
    <w:p w14:paraId="757E2D86" w14:textId="15871795" w:rsidR="00FC2817" w:rsidRPr="004B6CD8" w:rsidRDefault="00FC2817" w:rsidP="005B7957">
      <w:pPr>
        <w:pStyle w:val="amprLISTtealbullets-L1"/>
        <w:spacing w:after="240"/>
        <w:ind w:left="782" w:hanging="357"/>
        <w:rPr>
          <w:rFonts w:eastAsia="Calibri" w:cs="Times New Roman"/>
          <w:noProof/>
        </w:rPr>
      </w:pPr>
      <w:r w:rsidRPr="004B6CD8">
        <w:rPr>
          <w:rFonts w:eastAsia="Calibri" w:cs="Times New Roman"/>
          <w:noProof/>
        </w:rPr>
        <w:t>clarify acceptable deviations between outputs and result indicators and reinforce checks on outputs</w:t>
      </w:r>
      <w:r w:rsidR="006A5808" w:rsidRPr="004B6CD8">
        <w:rPr>
          <w:rFonts w:eastAsia="Calibri" w:cs="Times New Roman"/>
          <w:noProof/>
        </w:rPr>
        <w: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FC2817" w:rsidRPr="007F05B2" w14:paraId="49F1DEC6" w14:textId="77777777">
        <w:tc>
          <w:tcPr>
            <w:tcW w:w="9057" w:type="dxa"/>
          </w:tcPr>
          <w:p w14:paraId="2AAFE56E" w14:textId="77777777" w:rsidR="00FC2817" w:rsidRPr="004B6CD8" w:rsidRDefault="00FC2817">
            <w:pPr>
              <w:jc w:val="both"/>
              <w:rPr>
                <w:b/>
                <w:bCs/>
                <w:noProof/>
                <w:color w:val="003399" w:themeColor="text2"/>
              </w:rPr>
            </w:pPr>
            <w:r w:rsidRPr="004B6CD8">
              <w:rPr>
                <w:b/>
                <w:bCs/>
                <w:noProof/>
                <w:color w:val="003399" w:themeColor="text2"/>
              </w:rPr>
              <w:t>Additional information provided by DG AGRI on the implemented measures</w:t>
            </w:r>
          </w:p>
          <w:p w14:paraId="3C1D4521" w14:textId="1116A802" w:rsidR="00FC2817" w:rsidRPr="004B6CD8" w:rsidRDefault="00C91759">
            <w:pPr>
              <w:jc w:val="both"/>
              <w:rPr>
                <w:noProof/>
              </w:rPr>
            </w:pPr>
            <w:r w:rsidRPr="004B6CD8">
              <w:rPr>
                <w:noProof/>
              </w:rPr>
              <w:t>DG AGRI accepted all recommendations and submitted an action plan</w:t>
            </w:r>
            <w:r w:rsidR="00741715">
              <w:rPr>
                <w:noProof/>
              </w:rPr>
              <w:t>,</w:t>
            </w:r>
            <w:r w:rsidRPr="004B6CD8">
              <w:rPr>
                <w:noProof/>
              </w:rPr>
              <w:t xml:space="preserve"> assessed as satisfactory</w:t>
            </w:r>
            <w:r w:rsidR="00741715">
              <w:rPr>
                <w:noProof/>
              </w:rPr>
              <w:t xml:space="preserve"> by the IAS</w:t>
            </w:r>
            <w:r w:rsidR="00D676E0">
              <w:rPr>
                <w:noProof/>
              </w:rPr>
              <w:t>,</w:t>
            </w:r>
            <w:r w:rsidR="00741715">
              <w:rPr>
                <w:noProof/>
              </w:rPr>
              <w:t xml:space="preserve"> </w:t>
            </w:r>
            <w:r w:rsidR="00D676E0">
              <w:rPr>
                <w:noProof/>
              </w:rPr>
              <w:t>in</w:t>
            </w:r>
            <w:r w:rsidR="00D676E0" w:rsidRPr="004B6CD8">
              <w:rPr>
                <w:noProof/>
              </w:rPr>
              <w:t xml:space="preserve"> April 2026</w:t>
            </w:r>
            <w:r w:rsidR="00D676E0">
              <w:rPr>
                <w:noProof/>
              </w:rPr>
              <w:t xml:space="preserve">, </w:t>
            </w:r>
            <w:r w:rsidRPr="004B6CD8">
              <w:rPr>
                <w:noProof/>
              </w:rPr>
              <w:t>to mitigate the risks identified.</w:t>
            </w:r>
          </w:p>
        </w:tc>
      </w:tr>
    </w:tbl>
    <w:p w14:paraId="64AD9624" w14:textId="756486A7" w:rsidR="00FC2817" w:rsidRPr="004B6CD8" w:rsidRDefault="00B61467" w:rsidP="00D74BE0">
      <w:pPr>
        <w:pStyle w:val="amprH3Title2-Numbered-11"/>
        <w:numPr>
          <w:ilvl w:val="1"/>
          <w:numId w:val="51"/>
        </w:numPr>
        <w:rPr>
          <w:noProof/>
        </w:rPr>
      </w:pPr>
      <w:bookmarkStart w:id="40" w:name="_Toc231235431"/>
      <w:r w:rsidRPr="004B6CD8">
        <w:rPr>
          <w:noProof/>
        </w:rPr>
        <w:t xml:space="preserve">Design of the performance monitoring and evaluation framework for the Common Agricultural Policy 2023-2027 </w:t>
      </w:r>
      <w:r w:rsidR="00883D7A">
        <w:rPr>
          <w:noProof/>
        </w:rPr>
        <w:t>(DG AGRI)</w:t>
      </w:r>
      <w:bookmarkEnd w:id="40"/>
    </w:p>
    <w:p w14:paraId="44AE30C9" w14:textId="77777777" w:rsidR="00B61467" w:rsidRPr="004B6CD8" w:rsidRDefault="00B61467" w:rsidP="00B61467">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whether DG AGRI has adequately designed the Common Agricultural Policy 2023-2027 performance monitoring and evaluation framework (PMEF) in order to monitor, evaluate and report on the performance of the Common Agricultural Policy under the New Delivery Model.</w:t>
      </w:r>
    </w:p>
    <w:p w14:paraId="6992645C" w14:textId="77777777" w:rsidR="00B61467" w:rsidRPr="004B6CD8" w:rsidRDefault="00B61467" w:rsidP="00B61467">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3021195B" w14:textId="77777777" w:rsidR="00B61467" w:rsidRPr="004B6CD8" w:rsidRDefault="00B61467" w:rsidP="00B61467">
      <w:pPr>
        <w:jc w:val="both"/>
        <w:rPr>
          <w:rFonts w:cs="Times New Roman"/>
          <w:i/>
          <w:iCs/>
          <w:noProof/>
          <w:color w:val="003399" w:themeColor="text2"/>
          <w:lang w:val="en-GB"/>
        </w:rPr>
      </w:pPr>
      <w:r w:rsidRPr="004B6CD8">
        <w:rPr>
          <w:rFonts w:cs="Times New Roman"/>
          <w:i/>
          <w:iCs/>
          <w:noProof/>
          <w:color w:val="003399" w:themeColor="text2"/>
          <w:lang w:val="en-GB"/>
        </w:rPr>
        <w:t>Intervention logic</w:t>
      </w:r>
    </w:p>
    <w:p w14:paraId="00D67C2C" w14:textId="77777777" w:rsidR="00B61467" w:rsidRPr="004B6CD8" w:rsidRDefault="00B61467" w:rsidP="00B61467">
      <w:pPr>
        <w:jc w:val="both"/>
        <w:rPr>
          <w:rFonts w:eastAsia="Calibri" w:cs="Times New Roman"/>
          <w:noProof/>
          <w:kern w:val="0"/>
          <w:lang w:val="en-GB"/>
          <w14:ligatures w14:val="none"/>
        </w:rPr>
      </w:pPr>
      <w:r w:rsidRPr="004B6CD8">
        <w:rPr>
          <w:rFonts w:eastAsia="Calibri" w:cs="Times New Roman"/>
          <w:noProof/>
          <w:kern w:val="0"/>
          <w:lang w:val="en-GB"/>
          <w14:ligatures w14:val="none"/>
        </w:rPr>
        <w:t>Overall, the Common Agricultural Policy strategic plan interventions, designed at Member State level, respond to the Common Agricultural Policy objectives and are sufficiently linked to the result and impact indicators. This is to a large extent thanks to DG AGRI’s advice and consistent support to Member States.</w:t>
      </w:r>
    </w:p>
    <w:p w14:paraId="3F665BBB" w14:textId="77777777" w:rsidR="00B61467" w:rsidRPr="004B6CD8" w:rsidRDefault="00B61467" w:rsidP="00B61467">
      <w:pPr>
        <w:jc w:val="both"/>
        <w:rPr>
          <w:rFonts w:cs="Times New Roman"/>
          <w:i/>
          <w:iCs/>
          <w:noProof/>
          <w:color w:val="003399" w:themeColor="text2"/>
          <w:lang w:val="en-GB"/>
        </w:rPr>
      </w:pPr>
      <w:r w:rsidRPr="004B6CD8">
        <w:rPr>
          <w:rFonts w:cs="Times New Roman"/>
          <w:i/>
          <w:iCs/>
          <w:noProof/>
          <w:color w:val="003399" w:themeColor="text2"/>
          <w:lang w:val="en-GB"/>
        </w:rPr>
        <w:t>Performance monitoring and evaluation framework indicators</w:t>
      </w:r>
    </w:p>
    <w:p w14:paraId="54D9F42B" w14:textId="77777777" w:rsidR="00B61467" w:rsidRPr="004B6CD8" w:rsidRDefault="00B61467" w:rsidP="00B61467">
      <w:pPr>
        <w:jc w:val="both"/>
        <w:rPr>
          <w:rFonts w:eastAsia="Calibri" w:cs="Times New Roman"/>
          <w:noProof/>
          <w:kern w:val="0"/>
          <w:lang w:val="en-GB"/>
          <w14:ligatures w14:val="none"/>
        </w:rPr>
      </w:pPr>
      <w:r w:rsidRPr="004B6CD8">
        <w:rPr>
          <w:rFonts w:eastAsia="Calibri" w:cs="Times New Roman"/>
          <w:noProof/>
          <w:kern w:val="0"/>
          <w:lang w:val="en-GB"/>
          <w14:ligatures w14:val="none"/>
        </w:rPr>
        <w:t>DG AGRI has prepared fiches for the performance monitoring and evaluation framework indicators, which allows for a uniform interpretation on how data must be collected and reported by Member States. Within DG AGRI, the allocation of responsibilities regarding who is responsible on which Common Agricultural Policy indicators is clear. Furthermore, to cope with the challenges related to data quality, DG AGRI has put in place instructions, designed in-house controls and established structured communication with data providers such as Eurostat.</w:t>
      </w:r>
    </w:p>
    <w:p w14:paraId="4878F5C1" w14:textId="77777777" w:rsidR="00B61467" w:rsidRPr="004B6CD8" w:rsidRDefault="00B61467" w:rsidP="00B61467">
      <w:pPr>
        <w:jc w:val="both"/>
        <w:rPr>
          <w:rFonts w:cs="Times New Roman"/>
          <w:i/>
          <w:iCs/>
          <w:noProof/>
          <w:color w:val="003399" w:themeColor="text2"/>
          <w:lang w:val="en-GB"/>
        </w:rPr>
      </w:pPr>
      <w:r w:rsidRPr="004B6CD8">
        <w:rPr>
          <w:rFonts w:cs="Times New Roman"/>
          <w:i/>
          <w:iCs/>
          <w:noProof/>
          <w:color w:val="003399" w:themeColor="text2"/>
          <w:lang w:val="en-GB"/>
        </w:rPr>
        <w:t>Support to Member States on the implementation of the Common Agricultural Policy strategic plans and for monitoring their performance</w:t>
      </w:r>
    </w:p>
    <w:p w14:paraId="6378C8AC" w14:textId="77777777" w:rsidR="00B61467" w:rsidRPr="004B6CD8" w:rsidRDefault="00B61467" w:rsidP="00B61467">
      <w:pPr>
        <w:jc w:val="both"/>
        <w:rPr>
          <w:rFonts w:eastAsia="Calibri" w:cs="Times New Roman"/>
          <w:noProof/>
          <w:kern w:val="0"/>
          <w:lang w:val="en-GB"/>
          <w14:ligatures w14:val="none"/>
        </w:rPr>
      </w:pPr>
      <w:r w:rsidRPr="004B6CD8">
        <w:rPr>
          <w:rFonts w:eastAsia="Calibri" w:cs="Times New Roman"/>
          <w:noProof/>
          <w:kern w:val="0"/>
          <w:lang w:val="en-GB"/>
          <w14:ligatures w14:val="none"/>
        </w:rPr>
        <w:t>Overall, DG AGRI has put in place adequate procedures for providing support to the Member States in the implementation of the Common Agricultural Policy strategic plans and for monitoring their performance, apart from the following very important weakness:</w:t>
      </w:r>
    </w:p>
    <w:p w14:paraId="2BB76D57" w14:textId="77777777" w:rsidR="00B61467" w:rsidRPr="004B6CD8" w:rsidRDefault="00B61467" w:rsidP="00B61467">
      <w:pPr>
        <w:jc w:val="both"/>
        <w:rPr>
          <w:rFonts w:eastAsia="Calibri" w:cs="Times New Roman"/>
          <w:noProof/>
          <w:kern w:val="0"/>
          <w:lang w:val="en-GB"/>
          <w14:ligatures w14:val="none"/>
        </w:rPr>
      </w:pPr>
      <w:r w:rsidRPr="004B6CD8">
        <w:rPr>
          <w:rFonts w:eastAsia="Calibri" w:cs="Times New Roman"/>
          <w:noProof/>
          <w:kern w:val="0"/>
          <w:lang w:val="en-GB"/>
          <w14:ligatures w14:val="none"/>
        </w:rPr>
        <w:t>While the Common Agricultural Policy regulation allows Member States to request amendments on milestones and targets for result indicators, it does not provide clear grounds under which such amendments may be rejected. In the absence of clear provisions in the basic legislation and not to undermine the effectiveness of the biennial performance review, DG AGRI has agreed on an approach to deal with such requests for amendments, which has evolved over time as the implementation of the Common Agricultural Policy strategic plans progressed. However, this approach remains difficult to implement in the absence of a clear legal basis and needs further clarification and documentation.</w:t>
      </w:r>
    </w:p>
    <w:p w14:paraId="36EA69F0" w14:textId="77777777" w:rsidR="00B61467" w:rsidRPr="004B6CD8" w:rsidRDefault="00B61467" w:rsidP="00B61467">
      <w:pPr>
        <w:jc w:val="both"/>
        <w:rPr>
          <w:rFonts w:cs="Times New Roman"/>
          <w:i/>
          <w:iCs/>
          <w:noProof/>
          <w:color w:val="003399" w:themeColor="text2"/>
          <w:lang w:val="en-GB"/>
        </w:rPr>
      </w:pPr>
      <w:r w:rsidRPr="004B6CD8">
        <w:rPr>
          <w:rFonts w:cs="Times New Roman"/>
          <w:i/>
          <w:iCs/>
          <w:noProof/>
          <w:color w:val="003399" w:themeColor="text2"/>
          <w:lang w:val="en-GB"/>
        </w:rPr>
        <w:t>Processes for evaluating and reporting on the Common Agricultural Policy 2023- 2027</w:t>
      </w:r>
    </w:p>
    <w:p w14:paraId="59EEF307" w14:textId="77777777" w:rsidR="00B61467" w:rsidRPr="004B6CD8" w:rsidRDefault="00B61467" w:rsidP="00B61467">
      <w:pPr>
        <w:jc w:val="both"/>
        <w:rPr>
          <w:rFonts w:eastAsia="Calibri" w:cs="Times New Roman"/>
          <w:noProof/>
          <w:kern w:val="0"/>
          <w:lang w:val="en-GB"/>
          <w14:ligatures w14:val="none"/>
        </w:rPr>
      </w:pPr>
      <w:r w:rsidRPr="004B6CD8">
        <w:rPr>
          <w:rFonts w:eastAsia="Calibri" w:cs="Times New Roman"/>
          <w:noProof/>
          <w:kern w:val="0"/>
          <w:lang w:val="en-GB"/>
          <w14:ligatures w14:val="none"/>
        </w:rPr>
        <w:t>DG AGRI has put in place adequate processes to deliver the evaluations as required by the Common Agricultural Policy strategic plan Regulation, through the preparation of a fit for purpose multiannual plan for studies.</w:t>
      </w:r>
    </w:p>
    <w:p w14:paraId="3EEE4163" w14:textId="5687E788" w:rsidR="00B61467" w:rsidRPr="004B6CD8" w:rsidRDefault="00B61467" w:rsidP="00B6146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In addition, DG AGRI disseminates available data on the performance monitoring and evaluation framework indicators through the </w:t>
      </w:r>
      <w:r w:rsidR="000E0308" w:rsidRPr="004B6CD8">
        <w:rPr>
          <w:rFonts w:eastAsia="Calibri" w:cs="Times New Roman"/>
          <w:noProof/>
          <w:kern w:val="0"/>
          <w:lang w:val="en-GB"/>
          <w14:ligatures w14:val="none"/>
        </w:rPr>
        <w:t>Agri-food Data Portal (</w:t>
      </w:r>
      <w:r w:rsidRPr="004B6CD8">
        <w:rPr>
          <w:rFonts w:eastAsia="Calibri" w:cs="Times New Roman"/>
          <w:noProof/>
          <w:kern w:val="0"/>
          <w:lang w:val="en-GB"/>
          <w14:ligatures w14:val="none"/>
        </w:rPr>
        <w:t>AGRIDATA portal</w:t>
      </w:r>
      <w:r w:rsidR="000E0308" w:rsidRPr="004B6CD8">
        <w:rPr>
          <w:rFonts w:eastAsia="Calibri" w:cs="Times New Roman"/>
          <w:noProof/>
          <w:kern w:val="0"/>
          <w:lang w:val="en-GB"/>
          <w14:ligatures w14:val="none"/>
        </w:rPr>
        <w:t>)</w:t>
      </w:r>
      <w:r w:rsidRPr="004B6CD8">
        <w:rPr>
          <w:rFonts w:eastAsia="Calibri" w:cs="Times New Roman"/>
          <w:noProof/>
          <w:kern w:val="0"/>
          <w:lang w:val="en-GB"/>
          <w14:ligatures w14:val="none"/>
        </w:rPr>
        <w:t>. Preparations are ongoing for reporting on the performance of the new Common Agricultural Policy in the new 2024 Annual Activity Report of DG AGRI.</w:t>
      </w:r>
    </w:p>
    <w:p w14:paraId="554F57BE" w14:textId="77777777" w:rsidR="00B61467" w:rsidRPr="004B6CD8" w:rsidRDefault="00B61467" w:rsidP="00B61467">
      <w:pPr>
        <w:jc w:val="both"/>
        <w:rPr>
          <w:rFonts w:eastAsia="Calibri" w:cs="Times New Roman"/>
          <w:noProof/>
          <w:kern w:val="0"/>
          <w:lang w:val="en-GB"/>
          <w14:ligatures w14:val="none"/>
        </w:rPr>
      </w:pPr>
      <w:r w:rsidRPr="004B6CD8">
        <w:rPr>
          <w:rFonts w:eastAsia="Calibri" w:cs="Times New Roman"/>
          <w:noProof/>
          <w:kern w:val="0"/>
          <w:lang w:val="en-GB"/>
          <w14:ligatures w14:val="none"/>
        </w:rPr>
        <w:t>However, in terms of performance reporting, the performance programme statements accompanying the draft budget for 2025 and annexed to the 2023 Annual Management and Performance Report for the EU budget did not include data for the Common Agricultural Policy 2023-2027 core indicators, although some data were already available for a number of indicators.</w:t>
      </w:r>
    </w:p>
    <w:p w14:paraId="5FE5F9A0" w14:textId="77777777" w:rsidR="00B61467" w:rsidRPr="004B6CD8" w:rsidRDefault="00B61467" w:rsidP="00B61467">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14A654A8" w14:textId="77777777" w:rsidR="00B61467" w:rsidRPr="004B6CD8" w:rsidRDefault="00B61467" w:rsidP="00B61467">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overall, DG AGRI has adequately designed the Common Agricultural Policy 2023-2027 performance monitoring and evaluation framework to monitor, evaluate and report on the performance of the Common Agricultural Policy under the New Delivery Model, except for one very important issue relating to the approach for approving changes to targets and milestones for result indicators.</w:t>
      </w:r>
    </w:p>
    <w:p w14:paraId="1CFF9B65" w14:textId="47DAA3EF" w:rsidR="00915A2D"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75CCBD12" w14:textId="2492E524" w:rsidR="00FC2817" w:rsidRPr="00874637" w:rsidRDefault="001771BF" w:rsidP="66263CC9">
      <w:pPr>
        <w:jc w:val="both"/>
        <w:rPr>
          <w:rFonts w:eastAsia="Calibri" w:cs="Times New Roman"/>
          <w:noProof/>
          <w:kern w:val="0"/>
          <w:lang w:val="en-IE"/>
          <w14:ligatures w14:val="none"/>
        </w:rPr>
      </w:pPr>
      <w:r w:rsidRPr="00874637">
        <w:rPr>
          <w:rFonts w:eastAsia="Calibri" w:cs="Times New Roman"/>
          <w:noProof/>
          <w:lang w:val="en-IE"/>
        </w:rPr>
        <w:t xml:space="preserve">Recommendation No </w:t>
      </w:r>
      <w:r w:rsidR="00915A2D" w:rsidRPr="00874637">
        <w:rPr>
          <w:rFonts w:eastAsia="Calibri" w:cs="Times New Roman"/>
          <w:noProof/>
          <w:lang w:val="en-IE"/>
        </w:rPr>
        <w:t>1, o</w:t>
      </w:r>
      <w:r w:rsidR="00FC2817" w:rsidRPr="00874637">
        <w:rPr>
          <w:rFonts w:eastAsia="Calibri" w:cs="Times New Roman"/>
          <w:noProof/>
          <w:lang w:val="en-IE"/>
        </w:rPr>
        <w:t>n</w:t>
      </w:r>
      <w:r w:rsidR="00915A2D" w:rsidRPr="00874637">
        <w:rPr>
          <w:rFonts w:eastAsia="Calibri" w:cs="Times New Roman"/>
          <w:noProof/>
          <w:lang w:val="en-IE"/>
        </w:rPr>
        <w:t xml:space="preserve"> the</w:t>
      </w:r>
      <w:r w:rsidR="00FC2817" w:rsidRPr="00874637">
        <w:rPr>
          <w:rFonts w:eastAsia="Calibri" w:cs="Times New Roman"/>
          <w:noProof/>
          <w:lang w:val="en-IE"/>
        </w:rPr>
        <w:t xml:space="preserve"> </w:t>
      </w:r>
      <w:r w:rsidR="00AE233C" w:rsidRPr="00874637">
        <w:rPr>
          <w:rStyle w:val="BoldAccent1"/>
          <w:noProof/>
          <w:color w:val="003399" w:themeColor="text2"/>
          <w:lang w:val="en-IE"/>
        </w:rPr>
        <w:t>a</w:t>
      </w:r>
      <w:r w:rsidR="00B61467" w:rsidRPr="00874637">
        <w:rPr>
          <w:rStyle w:val="BoldAccent1"/>
          <w:noProof/>
          <w:color w:val="003399" w:themeColor="text2"/>
          <w:lang w:val="en-IE"/>
        </w:rPr>
        <w:t>pproval of changes to milestones and targets for result indicators, DG AGRI</w:t>
      </w:r>
      <w:r w:rsidR="00B61467" w:rsidRPr="00874637">
        <w:rPr>
          <w:rFonts w:eastAsia="Calibri" w:cs="Times New Roman"/>
          <w:noProof/>
          <w:lang w:val="en-IE"/>
        </w:rPr>
        <w:t xml:space="preserve"> should</w:t>
      </w:r>
      <w:r w:rsidR="00915A2D" w:rsidRPr="00874637">
        <w:rPr>
          <w:rFonts w:eastAsia="Calibri" w:cs="Times New Roman"/>
          <w:noProof/>
          <w:kern w:val="0"/>
          <w:lang w:val="en-IE"/>
          <w14:ligatures w14:val="none"/>
        </w:rPr>
        <w:t>:</w:t>
      </w:r>
    </w:p>
    <w:p w14:paraId="689E874A" w14:textId="7AA06513" w:rsidR="00FC2817" w:rsidRPr="004B6CD8" w:rsidRDefault="00B61467" w:rsidP="00140C48">
      <w:pPr>
        <w:pStyle w:val="amprLISTtealbullets-L1"/>
        <w:spacing w:after="240"/>
        <w:ind w:left="782" w:hanging="357"/>
        <w:rPr>
          <w:rFonts w:eastAsia="Calibri" w:cs="Times New Roman"/>
          <w:noProof/>
        </w:rPr>
      </w:pPr>
      <w:r w:rsidRPr="004B6CD8">
        <w:rPr>
          <w:rFonts w:eastAsia="Calibri" w:cs="Times New Roman"/>
          <w:noProof/>
        </w:rPr>
        <w:t>update and clarify the approach for assessing requested changes to milestones and targets</w:t>
      </w:r>
      <w:r w:rsidR="006A5808" w:rsidRPr="004B6CD8">
        <w:rPr>
          <w:rFonts w:eastAsia="Calibri" w:cs="Times New Roman"/>
          <w:noProof/>
        </w:rPr>
        <w: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FC2817" w:rsidRPr="007F05B2" w14:paraId="554AD521" w14:textId="77777777">
        <w:tc>
          <w:tcPr>
            <w:tcW w:w="9057" w:type="dxa"/>
          </w:tcPr>
          <w:p w14:paraId="24B9216A" w14:textId="50B8E756" w:rsidR="00FC2817" w:rsidRPr="004B6CD8" w:rsidRDefault="00FC2817">
            <w:pPr>
              <w:pStyle w:val="boldblue"/>
            </w:pPr>
            <w:r w:rsidRPr="004B6CD8">
              <w:t xml:space="preserve">Additional information provided by DG </w:t>
            </w:r>
            <w:r w:rsidR="00B61467" w:rsidRPr="004B6CD8">
              <w:t xml:space="preserve">AGRI on </w:t>
            </w:r>
            <w:r w:rsidRPr="004B6CD8">
              <w:t xml:space="preserve">the </w:t>
            </w:r>
            <w:r w:rsidR="00B61467" w:rsidRPr="004B6CD8">
              <w:t xml:space="preserve">implemented </w:t>
            </w:r>
            <w:r w:rsidRPr="004B6CD8">
              <w:t>measures</w:t>
            </w:r>
          </w:p>
          <w:p w14:paraId="707E3385" w14:textId="24B277E6" w:rsidR="00FC2817" w:rsidRDefault="003437FE">
            <w:pPr>
              <w:jc w:val="both"/>
              <w:rPr>
                <w:noProof/>
              </w:rPr>
            </w:pPr>
            <w:r w:rsidRPr="004B6CD8">
              <w:rPr>
                <w:noProof/>
              </w:rPr>
              <w:t xml:space="preserve">DG AGRI accepted the recommendation from the IAS and submitted an action plan that was assessed as satisfactory </w:t>
            </w:r>
            <w:r w:rsidR="00140C48">
              <w:rPr>
                <w:noProof/>
              </w:rPr>
              <w:t xml:space="preserve">by the IAS, </w:t>
            </w:r>
            <w:r w:rsidR="00F61908">
              <w:rPr>
                <w:noProof/>
              </w:rPr>
              <w:t>in</w:t>
            </w:r>
            <w:r w:rsidR="00140C48" w:rsidRPr="004B6CD8">
              <w:rPr>
                <w:noProof/>
              </w:rPr>
              <w:t xml:space="preserve"> June 2025</w:t>
            </w:r>
            <w:r w:rsidR="00140C48">
              <w:rPr>
                <w:noProof/>
              </w:rPr>
              <w:t xml:space="preserve">, </w:t>
            </w:r>
            <w:r w:rsidRPr="004B6CD8">
              <w:rPr>
                <w:noProof/>
              </w:rPr>
              <w:t>to mitigate the risks. Actions related to recommendation 1 are ongoing. DG AGRI continues to monitor the execution of the audit plan.</w:t>
            </w:r>
          </w:p>
          <w:p w14:paraId="41A028E3" w14:textId="61DBB889" w:rsidR="00E6331F" w:rsidRDefault="00E6331F">
            <w:pPr>
              <w:jc w:val="both"/>
              <w:rPr>
                <w:noProof/>
              </w:rPr>
            </w:pPr>
            <w:r>
              <w:rPr>
                <w:noProof/>
              </w:rPr>
              <w:t>T</w:t>
            </w:r>
            <w:r w:rsidRPr="00E6331F">
              <w:rPr>
                <w:noProof/>
              </w:rPr>
              <w:t>h</w:t>
            </w:r>
            <w:r w:rsidR="00C6366A">
              <w:rPr>
                <w:noProof/>
              </w:rPr>
              <w:t>is</w:t>
            </w:r>
            <w:r w:rsidRPr="00E6331F">
              <w:rPr>
                <w:noProof/>
              </w:rPr>
              <w:t xml:space="preserve"> recommendation was due </w:t>
            </w:r>
            <w:r w:rsidR="004A1704">
              <w:rPr>
                <w:noProof/>
              </w:rPr>
              <w:t>on</w:t>
            </w:r>
            <w:r w:rsidRPr="00E6331F">
              <w:rPr>
                <w:noProof/>
              </w:rPr>
              <w:t xml:space="preserve"> 31</w:t>
            </w:r>
            <w:r>
              <w:rPr>
                <w:noProof/>
              </w:rPr>
              <w:t xml:space="preserve"> March </w:t>
            </w:r>
            <w:r w:rsidRPr="00E6331F">
              <w:rPr>
                <w:noProof/>
              </w:rPr>
              <w:t xml:space="preserve">2026. DG AGRI </w:t>
            </w:r>
            <w:r>
              <w:rPr>
                <w:noProof/>
              </w:rPr>
              <w:t>planned</w:t>
            </w:r>
            <w:r w:rsidRPr="00E6331F">
              <w:rPr>
                <w:noProof/>
              </w:rPr>
              <w:t xml:space="preserve"> to implement it in </w:t>
            </w:r>
            <w:r>
              <w:rPr>
                <w:noProof/>
              </w:rPr>
              <w:t>two</w:t>
            </w:r>
            <w:r w:rsidRPr="00E6331F">
              <w:rPr>
                <w:noProof/>
              </w:rPr>
              <w:t xml:space="preserve"> steps, as approved by the IAS in the action plan.</w:t>
            </w:r>
          </w:p>
          <w:p w14:paraId="138DB95C" w14:textId="43D9EFBC" w:rsidR="00C6366A" w:rsidRDefault="001C1522">
            <w:pPr>
              <w:jc w:val="both"/>
              <w:rPr>
                <w:noProof/>
              </w:rPr>
            </w:pPr>
            <w:r>
              <w:rPr>
                <w:noProof/>
              </w:rPr>
              <w:t>DG AGRI consider</w:t>
            </w:r>
            <w:r w:rsidR="00822E94">
              <w:rPr>
                <w:noProof/>
              </w:rPr>
              <w:t>s</w:t>
            </w:r>
            <w:r>
              <w:rPr>
                <w:noProof/>
              </w:rPr>
              <w:t xml:space="preserve"> </w:t>
            </w:r>
            <w:r w:rsidR="00822E94">
              <w:rPr>
                <w:noProof/>
              </w:rPr>
              <w:t>that t</w:t>
            </w:r>
            <w:r w:rsidR="00E6331F" w:rsidRPr="00E6331F">
              <w:rPr>
                <w:noProof/>
              </w:rPr>
              <w:t>he first action has been implemented (</w:t>
            </w:r>
            <w:r w:rsidR="002146A0">
              <w:rPr>
                <w:noProof/>
              </w:rPr>
              <w:t xml:space="preserve">the </w:t>
            </w:r>
            <w:r w:rsidR="00E6331F" w:rsidRPr="00E6331F">
              <w:rPr>
                <w:noProof/>
              </w:rPr>
              <w:t xml:space="preserve">outcome of the dedicated meeting of the Expert Group on the implementation of the CAP Strategic Plans </w:t>
            </w:r>
            <w:r w:rsidR="00E6331F">
              <w:rPr>
                <w:noProof/>
              </w:rPr>
              <w:t>R</w:t>
            </w:r>
            <w:r w:rsidR="00E6331F" w:rsidRPr="00E6331F">
              <w:rPr>
                <w:noProof/>
              </w:rPr>
              <w:t xml:space="preserve">egulation was used for the discussions </w:t>
            </w:r>
            <w:r w:rsidR="002146A0">
              <w:rPr>
                <w:noProof/>
              </w:rPr>
              <w:t>on</w:t>
            </w:r>
            <w:r w:rsidR="00E6331F" w:rsidRPr="00E6331F">
              <w:rPr>
                <w:noProof/>
              </w:rPr>
              <w:t xml:space="preserve"> the design of the new Performance Regulation for 2028-2</w:t>
            </w:r>
            <w:r w:rsidR="002146A0">
              <w:rPr>
                <w:noProof/>
              </w:rPr>
              <w:t>0</w:t>
            </w:r>
            <w:r w:rsidR="00E6331F" w:rsidRPr="00E6331F">
              <w:rPr>
                <w:noProof/>
              </w:rPr>
              <w:t>34 and in particular for the selection of the indicators)</w:t>
            </w:r>
            <w:r w:rsidR="00C6366A">
              <w:rPr>
                <w:noProof/>
              </w:rPr>
              <w:t>.</w:t>
            </w:r>
          </w:p>
          <w:p w14:paraId="6D4398D3" w14:textId="1ACED159" w:rsidR="00E6331F" w:rsidRPr="004B6CD8" w:rsidRDefault="00C6366A">
            <w:pPr>
              <w:jc w:val="both"/>
              <w:rPr>
                <w:noProof/>
              </w:rPr>
            </w:pPr>
            <w:r>
              <w:rPr>
                <w:noProof/>
              </w:rPr>
              <w:t>T</w:t>
            </w:r>
            <w:r w:rsidR="00E6331F" w:rsidRPr="00E6331F">
              <w:rPr>
                <w:noProof/>
              </w:rPr>
              <w:t xml:space="preserve">he second </w:t>
            </w:r>
            <w:r>
              <w:rPr>
                <w:noProof/>
              </w:rPr>
              <w:t>step</w:t>
            </w:r>
            <w:r w:rsidR="00E6331F" w:rsidRPr="00E6331F">
              <w:rPr>
                <w:noProof/>
              </w:rPr>
              <w:t xml:space="preserve">, on the clarification of the approach for assessing requested changes to milestones and targets, </w:t>
            </w:r>
            <w:r w:rsidRPr="00E24D31">
              <w:rPr>
                <w:noProof/>
              </w:rPr>
              <w:t xml:space="preserve">has been </w:t>
            </w:r>
            <w:r w:rsidR="00E6331F" w:rsidRPr="00E24D31">
              <w:rPr>
                <w:noProof/>
              </w:rPr>
              <w:t>discussed</w:t>
            </w:r>
            <w:r w:rsidR="00E6331F" w:rsidRPr="00E6331F">
              <w:rPr>
                <w:noProof/>
              </w:rPr>
              <w:t xml:space="preserve"> in the next New Consistency Board meeting on </w:t>
            </w:r>
            <w:r w:rsidR="00E6331F">
              <w:rPr>
                <w:noProof/>
              </w:rPr>
              <w:t xml:space="preserve">5 June </w:t>
            </w:r>
            <w:r w:rsidR="00E6331F" w:rsidRPr="00E6331F">
              <w:rPr>
                <w:noProof/>
              </w:rPr>
              <w:t>2026</w:t>
            </w:r>
            <w:r>
              <w:rPr>
                <w:noProof/>
              </w:rPr>
              <w:t xml:space="preserve">. </w:t>
            </w:r>
            <w:r w:rsidR="00E6331F" w:rsidRPr="00E6331F">
              <w:rPr>
                <w:noProof/>
              </w:rPr>
              <w:t xml:space="preserve">Once the agreement </w:t>
            </w:r>
            <w:r w:rsidR="001D7D54">
              <w:rPr>
                <w:noProof/>
              </w:rPr>
              <w:t>is</w:t>
            </w:r>
            <w:r w:rsidR="00E6331F" w:rsidRPr="00E6331F">
              <w:rPr>
                <w:noProof/>
              </w:rPr>
              <w:t xml:space="preserve"> reached, the Vademecum will be updated accordingly. DG AGRI expects by consequence to close the recommendation once the new version of the Vademecum has been validated.</w:t>
            </w:r>
          </w:p>
        </w:tc>
      </w:tr>
    </w:tbl>
    <w:p w14:paraId="07245138" w14:textId="41F4AEAC" w:rsidR="00FC2817" w:rsidRPr="004B6CD8" w:rsidRDefault="00AE233C" w:rsidP="00D74BE0">
      <w:pPr>
        <w:pStyle w:val="amprH3Title2-Numbered-11"/>
        <w:numPr>
          <w:ilvl w:val="1"/>
          <w:numId w:val="51"/>
        </w:numPr>
        <w:rPr>
          <w:noProof/>
        </w:rPr>
      </w:pPr>
      <w:bookmarkStart w:id="41" w:name="_Toc231235432"/>
      <w:r w:rsidRPr="004B6CD8">
        <w:rPr>
          <w:noProof/>
        </w:rPr>
        <w:t>N</w:t>
      </w:r>
      <w:r w:rsidR="00C96D25" w:rsidRPr="004B6CD8">
        <w:rPr>
          <w:noProof/>
        </w:rPr>
        <w:t>on-</w:t>
      </w:r>
      <w:r w:rsidRPr="004B6CD8">
        <w:rPr>
          <w:noProof/>
        </w:rPr>
        <w:t>G</w:t>
      </w:r>
      <w:r w:rsidR="00C96D25" w:rsidRPr="004B6CD8">
        <w:rPr>
          <w:noProof/>
        </w:rPr>
        <w:t xml:space="preserve">overnmental </w:t>
      </w:r>
      <w:r w:rsidRPr="004B6CD8">
        <w:rPr>
          <w:noProof/>
        </w:rPr>
        <w:t>O</w:t>
      </w:r>
      <w:r w:rsidR="00C96D25" w:rsidRPr="004B6CD8">
        <w:rPr>
          <w:noProof/>
        </w:rPr>
        <w:t>rganisations (NGO)</w:t>
      </w:r>
      <w:r w:rsidRPr="004B6CD8">
        <w:rPr>
          <w:noProof/>
        </w:rPr>
        <w:t xml:space="preserve"> funding under the LIFE programme</w:t>
      </w:r>
      <w:r w:rsidR="00883D7A">
        <w:rPr>
          <w:noProof/>
        </w:rPr>
        <w:t xml:space="preserve"> (DG ENV, DG CLIMA, DG ENER, CINEA)</w:t>
      </w:r>
      <w:bookmarkEnd w:id="41"/>
    </w:p>
    <w:p w14:paraId="5F1750F9" w14:textId="389D6C33" w:rsidR="00AE233C" w:rsidRPr="004B6CD8" w:rsidRDefault="00AE233C" w:rsidP="00AE233C">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objective of this audit was to assess whether DG ENV, DG CLIMA, DG ENER and CINEA, responsible for the </w:t>
      </w:r>
      <w:bookmarkStart w:id="42" w:name="_Hlk228807553"/>
      <w:r w:rsidR="00584D35" w:rsidRPr="004B6CD8">
        <w:rPr>
          <w:rFonts w:eastAsia="Calibri" w:cs="Times New Roman"/>
          <w:noProof/>
          <w:kern w:val="0"/>
          <w:lang w:val="en-GB"/>
          <w14:ligatures w14:val="none"/>
        </w:rPr>
        <w:t>Programme for the Environment and Climate Action (</w:t>
      </w:r>
      <w:r w:rsidRPr="004B6CD8">
        <w:rPr>
          <w:rFonts w:eastAsia="Calibri" w:cs="Times New Roman"/>
          <w:noProof/>
          <w:kern w:val="0"/>
          <w:lang w:val="en-GB"/>
          <w14:ligatures w14:val="none"/>
        </w:rPr>
        <w:t>LIFE</w:t>
      </w:r>
      <w:bookmarkEnd w:id="42"/>
      <w:r w:rsidR="00584D35" w:rsidRPr="004B6CD8">
        <w:rPr>
          <w:rFonts w:eastAsia="Calibri" w:cs="Times New Roman"/>
          <w:noProof/>
          <w:kern w:val="0"/>
          <w:lang w:val="en-GB"/>
          <w14:ligatures w14:val="none"/>
        </w:rPr>
        <w:t>)</w:t>
      </w:r>
      <w:r w:rsidRPr="004B6CD8">
        <w:rPr>
          <w:rFonts w:eastAsia="Calibri" w:cs="Times New Roman"/>
          <w:noProof/>
          <w:kern w:val="0"/>
          <w:lang w:val="en-GB"/>
          <w14:ligatures w14:val="none"/>
        </w:rPr>
        <w:t>, have taken effective measures to implement the ‘Guidance on funding for activities related to the development, implementation, monitoring, and enforcement of Union legislation and policy’ for the grants signed after its issuance, i.e. under the 2024 LIFE calls for proposals and onwards. The objective of the audit did not include an evaluation of the applicable legal basis and of the corporate guidance.</w:t>
      </w:r>
    </w:p>
    <w:p w14:paraId="1C8A391A" w14:textId="77777777" w:rsidR="00AE233C" w:rsidRPr="004B6CD8" w:rsidRDefault="00AE233C" w:rsidP="00AE233C">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7DBD4959" w14:textId="77777777" w:rsidR="00AE233C" w:rsidRPr="004B6CD8" w:rsidRDefault="00AE233C" w:rsidP="00AE233C">
      <w:pPr>
        <w:jc w:val="both"/>
        <w:rPr>
          <w:rFonts w:eastAsia="Calibri" w:cs="Times New Roman"/>
          <w:noProof/>
          <w:kern w:val="0"/>
          <w:lang w:val="en-GB"/>
          <w14:ligatures w14:val="none"/>
        </w:rPr>
      </w:pPr>
      <w:r w:rsidRPr="004B6CD8">
        <w:rPr>
          <w:rFonts w:eastAsia="Calibri" w:cs="Times New Roman"/>
          <w:noProof/>
          <w:kern w:val="0"/>
          <w:lang w:val="en-GB"/>
          <w14:ligatures w14:val="none"/>
        </w:rPr>
        <w:t>Based on the work performed within the scope of the audit, the IAS assessed the measures taken to comply with the corporate guidance as follows:</w:t>
      </w:r>
    </w:p>
    <w:p w14:paraId="61B3D04B" w14:textId="2EB1FC5B" w:rsidR="00AE233C" w:rsidRPr="004B6CD8" w:rsidRDefault="00AE233C" w:rsidP="00AE233C">
      <w:pPr>
        <w:jc w:val="both"/>
        <w:rPr>
          <w:rFonts w:cs="Times New Roman"/>
          <w:i/>
          <w:iCs/>
          <w:noProof/>
          <w:color w:val="003399" w:themeColor="text2"/>
          <w:lang w:val="en-GB"/>
        </w:rPr>
      </w:pPr>
      <w:r w:rsidRPr="004B6CD8">
        <w:rPr>
          <w:rFonts w:cs="Times New Roman"/>
          <w:i/>
          <w:iCs/>
          <w:noProof/>
          <w:color w:val="003399" w:themeColor="text2"/>
          <w:lang w:val="en-GB"/>
        </w:rPr>
        <w:t xml:space="preserve">Have the Commission services concerned (parent </w:t>
      </w:r>
      <w:r w:rsidR="00A018E5" w:rsidRPr="004B6CD8">
        <w:rPr>
          <w:rFonts w:cs="Times New Roman"/>
          <w:i/>
          <w:iCs/>
          <w:noProof/>
          <w:color w:val="003399" w:themeColor="text2"/>
          <w:lang w:val="en-GB"/>
        </w:rPr>
        <w:t>Directorates-General</w:t>
      </w:r>
      <w:r w:rsidRPr="004B6CD8">
        <w:rPr>
          <w:rFonts w:cs="Times New Roman"/>
          <w:i/>
          <w:iCs/>
          <w:noProof/>
          <w:color w:val="003399" w:themeColor="text2"/>
          <w:lang w:val="en-GB"/>
        </w:rPr>
        <w:t>) provided adequate guidance to CINEA, in alignment with the EC corporate guidelines?</w:t>
      </w:r>
    </w:p>
    <w:p w14:paraId="4A4ABBEA" w14:textId="5022694E" w:rsidR="00AE233C" w:rsidRPr="004B6CD8" w:rsidRDefault="00AE233C" w:rsidP="00AE233C">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LIFE programme parent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took a series of measures, including providing orientation to CINEA on how the corporate guidance should be applied in practice, responding to specific queries and advising on individual cases for the proposals submitted under the LIFE 2024 calls for proposals. They also ensured a proper follow-up on the matter at the CINEA Steering Committee and LIFE Working Group meetings.</w:t>
      </w:r>
    </w:p>
    <w:p w14:paraId="3017E4B6" w14:textId="77777777" w:rsidR="00AE233C" w:rsidRPr="004B6CD8" w:rsidRDefault="00AE233C" w:rsidP="00AE233C">
      <w:pPr>
        <w:jc w:val="both"/>
        <w:rPr>
          <w:rFonts w:eastAsia="Calibri" w:cs="Times New Roman"/>
          <w:noProof/>
          <w:kern w:val="0"/>
          <w:lang w:val="en-GB"/>
          <w14:ligatures w14:val="none"/>
        </w:rPr>
      </w:pPr>
      <w:r w:rsidRPr="004B6CD8">
        <w:rPr>
          <w:rFonts w:eastAsia="Calibri" w:cs="Times New Roman"/>
          <w:noProof/>
          <w:kern w:val="0"/>
          <w:lang w:val="en-GB"/>
          <w14:ligatures w14:val="none"/>
        </w:rPr>
        <w:t>For future LIFE calls, they clarified in the 2025–2027 LIFE Multi-Annual Work Programme that operating grant agreements should not require beneficiaries to undertake specific, detailed activities directly targeting EU institutions, their staff or members, or to take positions on specific policy issues.</w:t>
      </w:r>
    </w:p>
    <w:p w14:paraId="1FADF8C1" w14:textId="77777777" w:rsidR="00AE233C" w:rsidRPr="004B6CD8" w:rsidRDefault="00AE233C" w:rsidP="00AE233C">
      <w:pPr>
        <w:jc w:val="both"/>
        <w:rPr>
          <w:rFonts w:eastAsia="Calibri" w:cs="Times New Roman"/>
          <w:noProof/>
          <w:kern w:val="0"/>
          <w:lang w:val="en-GB"/>
          <w14:ligatures w14:val="none"/>
        </w:rPr>
      </w:pPr>
      <w:r w:rsidRPr="004B6CD8">
        <w:rPr>
          <w:rFonts w:eastAsia="Calibri" w:cs="Times New Roman"/>
          <w:noProof/>
          <w:kern w:val="0"/>
          <w:lang w:val="en-GB"/>
          <w14:ligatures w14:val="none"/>
        </w:rPr>
        <w:t>Additionally, they informed the non-governmental organisations with whom they had an ongoing operating grant, about the impact of the corporate guidance by holding meetings on 28 November 2024, 4 December 2024, and 3 June 2025.</w:t>
      </w:r>
    </w:p>
    <w:p w14:paraId="702CC765" w14:textId="77777777" w:rsidR="00AE233C" w:rsidRPr="004B6CD8" w:rsidRDefault="00AE233C" w:rsidP="00AE233C">
      <w:pPr>
        <w:jc w:val="both"/>
        <w:rPr>
          <w:rFonts w:cs="Times New Roman"/>
          <w:i/>
          <w:iCs/>
          <w:noProof/>
          <w:color w:val="003399" w:themeColor="text2"/>
          <w:lang w:val="en-GB"/>
        </w:rPr>
      </w:pPr>
      <w:r w:rsidRPr="004B6CD8">
        <w:rPr>
          <w:rFonts w:cs="Times New Roman"/>
          <w:i/>
          <w:iCs/>
          <w:noProof/>
          <w:color w:val="003399" w:themeColor="text2"/>
          <w:lang w:val="en-GB"/>
        </w:rPr>
        <w:t>Has CINEA implemented the corporate guidance effectively?</w:t>
      </w:r>
    </w:p>
    <w:p w14:paraId="00EA723E" w14:textId="77777777" w:rsidR="00AE233C" w:rsidRPr="004B6CD8" w:rsidRDefault="00AE233C" w:rsidP="00AE233C">
      <w:pPr>
        <w:jc w:val="both"/>
        <w:rPr>
          <w:rFonts w:eastAsia="Calibri" w:cs="Times New Roman"/>
          <w:noProof/>
          <w:kern w:val="0"/>
          <w:lang w:val="en-GB"/>
          <w14:ligatures w14:val="none"/>
        </w:rPr>
      </w:pPr>
      <w:r w:rsidRPr="004B6CD8">
        <w:rPr>
          <w:rFonts w:eastAsia="Calibri" w:cs="Times New Roman"/>
          <w:noProof/>
          <w:kern w:val="0"/>
          <w:lang w:val="en-GB"/>
          <w14:ligatures w14:val="none"/>
        </w:rPr>
        <w:t>CINEA has carried out a series of measures to implement the corporate guidance, including providing targeted training to external experts involved in the grant agreement preparation phase and incorporating in the text of the 2025 LIFE calls for proposals -– as part of the criteria for eligible activities - the requirement to ‘respect EU values and European Commission policy regarding reputational matters’, including a reference to the corporate guidance.</w:t>
      </w:r>
    </w:p>
    <w:p w14:paraId="3D2D7470" w14:textId="77777777" w:rsidR="00AE233C" w:rsidRPr="004B6CD8" w:rsidRDefault="00AE233C" w:rsidP="00AE233C">
      <w:pPr>
        <w:jc w:val="both"/>
        <w:rPr>
          <w:rFonts w:eastAsia="Calibri" w:cs="Times New Roman"/>
          <w:noProof/>
          <w:kern w:val="0"/>
          <w:lang w:val="en-GB"/>
          <w14:ligatures w14:val="none"/>
        </w:rPr>
      </w:pPr>
      <w:r w:rsidRPr="004B6CD8">
        <w:rPr>
          <w:rFonts w:eastAsia="Calibri" w:cs="Times New Roman"/>
          <w:noProof/>
          <w:kern w:val="0"/>
          <w:lang w:val="en-GB"/>
          <w14:ligatures w14:val="none"/>
        </w:rPr>
        <w:t>Furthermore, during the preparation of the action and operating grants awarded following the 2024 LIFE call, successful beneficiaries were informed, as part of the guidance note for the grant preparation phase, about the new compliance requirements related to the corporate guidance. In addition, beneficiaries of operating grants signed under the 2024 LIFE calls were informed of the reporting requirements for the implementation of their grant agreements, which include compliance with the corporate guidance.</w:t>
      </w:r>
    </w:p>
    <w:p w14:paraId="13D8C435" w14:textId="77777777" w:rsidR="00AE233C" w:rsidRPr="004B6CD8" w:rsidRDefault="00AE233C" w:rsidP="00AE233C">
      <w:pPr>
        <w:jc w:val="both"/>
        <w:rPr>
          <w:rFonts w:eastAsia="Calibri" w:cs="Times New Roman"/>
          <w:noProof/>
          <w:kern w:val="0"/>
          <w:lang w:val="en-GB"/>
          <w14:ligatures w14:val="none"/>
        </w:rPr>
      </w:pPr>
      <w:r w:rsidRPr="004B6CD8">
        <w:rPr>
          <w:rFonts w:eastAsia="Calibri" w:cs="Times New Roman"/>
          <w:noProof/>
          <w:kern w:val="0"/>
          <w:lang w:val="en-GB"/>
          <w14:ligatures w14:val="none"/>
        </w:rPr>
        <w:t>To align its internal operations with the requirements stemming from the corporate guidance, CINEA has revised its procedures for the evaluation and award of grants to non-governmental organisations and updated the existing checklist accordingly. CINEA performed a review of all successful proposals under the 2024 LIFE call to remove from the work packages to be included in the grant agreements, references to activities that they consider are not in line with the corporate guidance, such as those framed as lobbying or targeting directly (members of) EU institutions for specific policy outcomes. A register has also been established to track proposals requiring adjustments during the grant agreement preparation phase. However, the experience gained by CINEA staff and lessons learnt from the 2024 exercise have not yet been fully consolidated for use in future calls for proposals.</w:t>
      </w:r>
    </w:p>
    <w:p w14:paraId="7DEBEA2F" w14:textId="2C3A1C46" w:rsidR="00AE233C" w:rsidRPr="004B6CD8" w:rsidRDefault="00AE233C" w:rsidP="00AE233C">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CINEA also reported the results of the screening of pre-2024 ongoing LIFE grants to its parent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and to EC central services.</w:t>
      </w:r>
    </w:p>
    <w:p w14:paraId="5E841179" w14:textId="77777777" w:rsidR="00AE233C" w:rsidRPr="004B6CD8" w:rsidRDefault="00AE233C" w:rsidP="00AE233C">
      <w:pPr>
        <w:jc w:val="both"/>
        <w:rPr>
          <w:rFonts w:eastAsia="Calibri" w:cs="Times New Roman"/>
          <w:noProof/>
          <w:kern w:val="0"/>
          <w:lang w:val="en-GB"/>
          <w14:ligatures w14:val="none"/>
        </w:rPr>
      </w:pPr>
      <w:r w:rsidRPr="004B6CD8">
        <w:rPr>
          <w:rFonts w:eastAsia="Calibri" w:cs="Times New Roman"/>
          <w:noProof/>
          <w:kern w:val="0"/>
          <w:lang w:val="en-GB"/>
          <w14:ligatures w14:val="none"/>
        </w:rPr>
        <w:t>Overall, CINEA has put in place adequate measures for preventing, detecting and addressing potential conflict of interests for experts involved in the evaluation of proposals, as well as for evaluation committee members. However, based on sample testing, the auditors identified one case where the declaration of confidentiality and absence of conflict of interests of one voting member of an evaluation committee was signed around four months after the evaluation committee had taken place.</w:t>
      </w:r>
    </w:p>
    <w:p w14:paraId="0B9F274D" w14:textId="77777777" w:rsidR="00AE233C" w:rsidRPr="004B6CD8" w:rsidRDefault="00AE233C" w:rsidP="00AE233C">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73B36E5D" w14:textId="77777777" w:rsidR="00AE233C" w:rsidRPr="004B6CD8" w:rsidRDefault="00AE233C" w:rsidP="00AE233C">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the Commission services responsible for the LIFE programme have taken adequate measures to implement the ‘Guidance on funding for activities related to the development, implementation, monitoring and enforcement of union legislation and policy’ so that activities such as those framed as lobbying or targeting directly (members of) EU institutions for specific policy content or outcome, are not mandated as a requirement, or condition for Union financing.</w:t>
      </w:r>
    </w:p>
    <w:p w14:paraId="58F9C7E0" w14:textId="31B06501"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3A486A57" w14:textId="41A0BDBC" w:rsidR="00FC2817" w:rsidRPr="004B6CD8" w:rsidRDefault="00AE233C" w:rsidP="00AE233C">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w:t>
      </w:r>
      <w:r w:rsidRPr="008A53FC">
        <w:rPr>
          <w:rStyle w:val="BoldAccent1"/>
          <w:noProof/>
          <w:color w:val="003399" w:themeColor="text2"/>
        </w:rPr>
        <w:t>IAS</w:t>
      </w:r>
      <w:r w:rsidRPr="004B6CD8">
        <w:rPr>
          <w:rFonts w:eastAsia="Calibri" w:cs="Times New Roman"/>
          <w:noProof/>
          <w:kern w:val="0"/>
          <w:lang w:val="en-GB"/>
          <w14:ligatures w14:val="none"/>
        </w:rPr>
        <w:t xml:space="preserve"> did not formulate any critical or very important recommendations.</w:t>
      </w:r>
    </w:p>
    <w:p w14:paraId="56897C8D" w14:textId="6576AD43" w:rsidR="00FC2817" w:rsidRPr="004B6CD8" w:rsidRDefault="008F1DC5" w:rsidP="00D74BE0">
      <w:pPr>
        <w:pStyle w:val="amprH3Title2-Numbered-11"/>
        <w:numPr>
          <w:ilvl w:val="1"/>
          <w:numId w:val="51"/>
        </w:numPr>
        <w:rPr>
          <w:noProof/>
        </w:rPr>
      </w:pPr>
      <w:bookmarkStart w:id="43" w:name="_Toc231235433"/>
      <w:r w:rsidRPr="004B6CD8">
        <w:rPr>
          <w:noProof/>
        </w:rPr>
        <w:t>Reliability of audit opinions on the legality and regularity of Erasmus+ expenditure declared by National Agencies</w:t>
      </w:r>
      <w:r w:rsidR="00FF7FD8">
        <w:rPr>
          <w:noProof/>
        </w:rPr>
        <w:t xml:space="preserve"> (DG EAC)</w:t>
      </w:r>
      <w:bookmarkEnd w:id="43"/>
    </w:p>
    <w:p w14:paraId="5C63EB98" w14:textId="77777777" w:rsidR="00992298" w:rsidRPr="004B6CD8" w:rsidRDefault="00992298" w:rsidP="00992298">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whether the measures taken by DG EAC to ensure the reliability of audit opinions issued by the independent audit bodies (IABs) on the legality and regularity of expenditure reported by the national agencies are adequately designed and effectively implemented to obtain the necessary assurance on the use of Erasmus+ funds.</w:t>
      </w:r>
    </w:p>
    <w:p w14:paraId="00520070" w14:textId="77777777" w:rsidR="00992298" w:rsidRPr="004B6CD8" w:rsidRDefault="00992298" w:rsidP="00992298">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64E77079" w14:textId="77777777" w:rsidR="00992298" w:rsidRPr="004B6CD8" w:rsidRDefault="00992298" w:rsidP="00992298">
      <w:pPr>
        <w:jc w:val="both"/>
        <w:rPr>
          <w:rFonts w:cs="Times New Roman"/>
          <w:i/>
          <w:iCs/>
          <w:noProof/>
          <w:color w:val="003399" w:themeColor="text2"/>
          <w:lang w:val="en-GB"/>
        </w:rPr>
      </w:pPr>
      <w:r w:rsidRPr="004B6CD8">
        <w:rPr>
          <w:rFonts w:cs="Times New Roman"/>
          <w:i/>
          <w:iCs/>
          <w:noProof/>
          <w:color w:val="003399" w:themeColor="text2"/>
          <w:lang w:val="en-GB"/>
        </w:rPr>
        <w:t>Are the minimum requirements for the controls set by DG EAC for IAB and national agencies and the assessment of the audit opinions on the legality and regularity of expenditures declared by the national agencies adequately designed, in compliance with the applicable rules?</w:t>
      </w:r>
    </w:p>
    <w:p w14:paraId="1DD2BD1C" w14:textId="77777777" w:rsidR="00992298" w:rsidRPr="004B6CD8" w:rsidRDefault="00992298" w:rsidP="00992298">
      <w:pPr>
        <w:jc w:val="both"/>
        <w:rPr>
          <w:rFonts w:eastAsia="Calibri" w:cs="Times New Roman"/>
          <w:noProof/>
          <w:kern w:val="0"/>
          <w:lang w:val="en-GB"/>
          <w14:ligatures w14:val="none"/>
        </w:rPr>
      </w:pPr>
      <w:r w:rsidRPr="004B6CD8">
        <w:rPr>
          <w:rFonts w:eastAsia="Calibri" w:cs="Times New Roman"/>
          <w:noProof/>
          <w:kern w:val="0"/>
          <w:lang w:val="en-GB"/>
          <w14:ligatures w14:val="none"/>
        </w:rPr>
        <w:t>DG EAC has a well-established procedure for setting minimum requirements for the independent audit body’s work (in the form of yearly guidelines) and for assessing the independent audit opinions, including clear roles and responsibilities for DG EAC staff involved in the process. The yearly guidelines include a comprehensive set of requirements with a recommended methodological approach, provisions on audit population reconciliation and sampling, as well as indicative audit programmes and audit opinion templates which are timely communicated to the national authorities and IAB. However, the requirements for the national agencies to check the ‘top 15%’ of beneficiaries receiving 70-75% of the budget need clarification and the monitoring of primary checks performed by national agencies is not fully effective.</w:t>
      </w:r>
    </w:p>
    <w:p w14:paraId="38AD934B" w14:textId="77777777" w:rsidR="00992298" w:rsidRPr="004B6CD8" w:rsidRDefault="00992298" w:rsidP="00992298">
      <w:pPr>
        <w:jc w:val="both"/>
        <w:rPr>
          <w:rFonts w:cs="Times New Roman"/>
          <w:i/>
          <w:iCs/>
          <w:noProof/>
          <w:color w:val="003399" w:themeColor="text2"/>
          <w:lang w:val="en-GB"/>
        </w:rPr>
      </w:pPr>
      <w:r w:rsidRPr="004B6CD8">
        <w:rPr>
          <w:rFonts w:cs="Times New Roman"/>
          <w:i/>
          <w:iCs/>
          <w:noProof/>
          <w:color w:val="003399" w:themeColor="text2"/>
          <w:lang w:val="en-GB"/>
        </w:rPr>
        <w:t>Is the assessment that DG EAC performs on the independent audit opinions on the legality and regularity of expenditure declared by the national agencies effective to ensure the necessary assurance is obtained?</w:t>
      </w:r>
    </w:p>
    <w:p w14:paraId="75F87FF5" w14:textId="77777777" w:rsidR="00992298" w:rsidRPr="004B6CD8" w:rsidRDefault="00992298" w:rsidP="00992298">
      <w:pPr>
        <w:jc w:val="both"/>
        <w:rPr>
          <w:rFonts w:eastAsia="Calibri" w:cs="Times New Roman"/>
          <w:noProof/>
          <w:kern w:val="0"/>
          <w:lang w:val="en-GB"/>
          <w14:ligatures w14:val="none"/>
        </w:rPr>
      </w:pPr>
      <w:r w:rsidRPr="004B6CD8">
        <w:rPr>
          <w:rFonts w:eastAsia="Calibri" w:cs="Times New Roman"/>
          <w:noProof/>
          <w:kern w:val="0"/>
          <w:lang w:val="en-GB"/>
          <w14:ligatures w14:val="none"/>
        </w:rPr>
        <w:t>Overall, DG EAC effectively assesses the independent audit opinions on the legality and regularity of Erasmus+ expenditure. However, the IAS audit identified inconsistencies in verifying the audit population for primary checks and deviations from the recommended sampling parameters for financial transaction testing in some of the sampled independent audit opinions.</w:t>
      </w:r>
    </w:p>
    <w:p w14:paraId="5951C06E" w14:textId="77777777" w:rsidR="00992298" w:rsidRPr="004B6CD8" w:rsidRDefault="00992298" w:rsidP="00992298">
      <w:pPr>
        <w:jc w:val="both"/>
        <w:rPr>
          <w:rFonts w:cs="Times New Roman"/>
          <w:i/>
          <w:iCs/>
          <w:noProof/>
          <w:color w:val="003399" w:themeColor="text2"/>
          <w:lang w:val="en-GB"/>
        </w:rPr>
      </w:pPr>
      <w:r w:rsidRPr="004B6CD8">
        <w:rPr>
          <w:rFonts w:cs="Times New Roman"/>
          <w:i/>
          <w:iCs/>
          <w:noProof/>
          <w:color w:val="003399" w:themeColor="text2"/>
          <w:lang w:val="en-GB"/>
        </w:rPr>
        <w:t>Does DG EAC follow up on the observations arising from the independent audit opinion and the actions taken by national agencies and national authorities in response to the observations?</w:t>
      </w:r>
    </w:p>
    <w:p w14:paraId="3050217D" w14:textId="77777777" w:rsidR="00992298" w:rsidRPr="004B6CD8" w:rsidRDefault="00992298" w:rsidP="00992298">
      <w:pPr>
        <w:jc w:val="both"/>
        <w:rPr>
          <w:rFonts w:eastAsia="Calibri" w:cs="Times New Roman"/>
          <w:noProof/>
          <w:kern w:val="0"/>
          <w:lang w:val="en-GB"/>
          <w14:ligatures w14:val="none"/>
        </w:rPr>
      </w:pPr>
      <w:r w:rsidRPr="004B6CD8">
        <w:rPr>
          <w:rFonts w:eastAsia="Calibri" w:cs="Times New Roman"/>
          <w:noProof/>
          <w:kern w:val="0"/>
          <w:lang w:val="en-GB"/>
          <w14:ligatures w14:val="none"/>
        </w:rPr>
        <w:t>DG EAC follows up the observations reported in the independent audit opinions and their implementation by the national agencies on a regular basis. However, no formalised internal methodology exists for assessing the observations and no action plans for the implementation are requested from the national agencies and approved by DG EAC.</w:t>
      </w:r>
    </w:p>
    <w:p w14:paraId="0D2196F9" w14:textId="77777777" w:rsidR="00992298" w:rsidRPr="004B6CD8" w:rsidRDefault="00992298" w:rsidP="00992298">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5CA98AC6" w14:textId="77777777" w:rsidR="00992298" w:rsidRPr="004B6CD8" w:rsidRDefault="00992298" w:rsidP="00992298">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DG EAC has effectively implemented measures that are adequately designed to ensure the reliability of audit opinions issued by the IABs on the legality and regularity of expenditure reported by the national agencies to obtain the necessary assurance on the use of Erasmus+ funds, except for one very important issue related to the management of observations.</w:t>
      </w:r>
    </w:p>
    <w:p w14:paraId="0175B95D" w14:textId="67C78613"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250E7AE7" w14:textId="06F91A07" w:rsidR="00915A2D" w:rsidRDefault="00992298" w:rsidP="00992298">
      <w:pPr>
        <w:jc w:val="both"/>
        <w:rPr>
          <w:rStyle w:val="BoldAccent1"/>
          <w:noProof/>
          <w:color w:val="003399" w:themeColor="text2"/>
        </w:rPr>
      </w:pPr>
      <w:r w:rsidRPr="004B6CD8">
        <w:rPr>
          <w:rFonts w:eastAsia="Calibri" w:cs="Times New Roman"/>
          <w:noProof/>
          <w:lang w:val="en-GB"/>
        </w:rPr>
        <w:t>Recommendation No 2</w:t>
      </w:r>
      <w:r w:rsidR="00915A2D">
        <w:rPr>
          <w:rFonts w:eastAsia="Calibri" w:cs="Times New Roman"/>
          <w:noProof/>
          <w:lang w:val="en-GB"/>
        </w:rPr>
        <w:t xml:space="preserve">, </w:t>
      </w:r>
      <w:r w:rsidR="00915A2D" w:rsidRPr="008A53FC">
        <w:rPr>
          <w:rStyle w:val="BoldAccent1"/>
          <w:noProof/>
          <w:color w:val="003399" w:themeColor="text2"/>
        </w:rPr>
        <w:t xml:space="preserve">on the </w:t>
      </w:r>
      <w:r w:rsidR="008A53FC" w:rsidRPr="008A53FC">
        <w:rPr>
          <w:rStyle w:val="BoldAccent1"/>
          <w:noProof/>
          <w:color w:val="003399" w:themeColor="text2"/>
        </w:rPr>
        <w:t>management</w:t>
      </w:r>
      <w:r w:rsidR="00915A2D" w:rsidRPr="008A53FC">
        <w:rPr>
          <w:rStyle w:val="BoldAccent1"/>
          <w:noProof/>
          <w:color w:val="003399" w:themeColor="text2"/>
        </w:rPr>
        <w:t xml:space="preserve"> of observations,</w:t>
      </w:r>
      <w:r w:rsidRPr="008A53FC">
        <w:rPr>
          <w:rStyle w:val="BoldAccent1"/>
          <w:noProof/>
          <w:color w:val="003399" w:themeColor="text2"/>
        </w:rPr>
        <w:t xml:space="preserve"> DG EAC </w:t>
      </w:r>
      <w:r w:rsidRPr="008A53FC">
        <w:rPr>
          <w:rFonts w:eastAsia="Calibri" w:cs="Times New Roman"/>
          <w:noProof/>
          <w:kern w:val="0"/>
          <w:lang w:val="en-IE"/>
          <w14:ligatures w14:val="none"/>
        </w:rPr>
        <w:t>should</w:t>
      </w:r>
      <w:r w:rsidR="00915A2D" w:rsidRPr="008A53FC">
        <w:rPr>
          <w:rFonts w:eastAsia="Calibri" w:cs="Times New Roman"/>
          <w:noProof/>
          <w:kern w:val="0"/>
          <w:lang w:val="en-IE"/>
          <w14:ligatures w14:val="none"/>
        </w:rPr>
        <w:t>:</w:t>
      </w:r>
      <w:r w:rsidRPr="008A53FC">
        <w:rPr>
          <w:rStyle w:val="BoldAccent1"/>
          <w:noProof/>
          <w:color w:val="003399" w:themeColor="text2"/>
        </w:rPr>
        <w:t xml:space="preserve"> </w:t>
      </w:r>
    </w:p>
    <w:p w14:paraId="4820FBE4" w14:textId="7E5F3202" w:rsidR="00FC2817" w:rsidRPr="004B6CD8" w:rsidRDefault="00992298" w:rsidP="008556D8">
      <w:pPr>
        <w:pStyle w:val="amprLISTtealbullets-L1"/>
        <w:spacing w:after="240"/>
        <w:ind w:left="782" w:hanging="357"/>
        <w:rPr>
          <w:rFonts w:eastAsia="Calibri"/>
          <w:noProof/>
        </w:rPr>
      </w:pPr>
      <w:r w:rsidRPr="004B6CD8">
        <w:rPr>
          <w:rFonts w:eastAsia="Calibri"/>
          <w:noProof/>
        </w:rPr>
        <w:t>improve the follow-up of observations</w:t>
      </w:r>
      <w:r w:rsidR="00FC2817" w:rsidRPr="004B6CD8">
        <w:rPr>
          <w:rFonts w:eastAsia="Calibri"/>
          <w:noProof/>
        </w:rPr>
        <w: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FC2817" w:rsidRPr="007F05B2" w14:paraId="71D654FE" w14:textId="77777777">
        <w:tc>
          <w:tcPr>
            <w:tcW w:w="9057" w:type="dxa"/>
          </w:tcPr>
          <w:p w14:paraId="346C3265" w14:textId="4A53FBC6" w:rsidR="00FC2817" w:rsidRPr="004B6CD8" w:rsidRDefault="00FC2817">
            <w:pPr>
              <w:pStyle w:val="boldblue"/>
            </w:pPr>
            <w:r w:rsidRPr="004B6CD8">
              <w:t>Additional information provided by DG E</w:t>
            </w:r>
            <w:r w:rsidR="00992298" w:rsidRPr="004B6CD8">
              <w:t>AC on the implemented measures</w:t>
            </w:r>
          </w:p>
          <w:p w14:paraId="35D61AFE" w14:textId="66199F43" w:rsidR="00FC2817" w:rsidRPr="004B6CD8" w:rsidRDefault="003437FE">
            <w:pPr>
              <w:jc w:val="both"/>
              <w:rPr>
                <w:noProof/>
              </w:rPr>
            </w:pPr>
            <w:r w:rsidRPr="004B6CD8">
              <w:rPr>
                <w:noProof/>
              </w:rPr>
              <w:t>DG EAC submitted an action plan</w:t>
            </w:r>
            <w:r w:rsidR="00BF4818">
              <w:rPr>
                <w:noProof/>
              </w:rPr>
              <w:t xml:space="preserve"> addressing all audit findings</w:t>
            </w:r>
            <w:r w:rsidR="00823F1E">
              <w:rPr>
                <w:noProof/>
              </w:rPr>
              <w:t xml:space="preserve"> </w:t>
            </w:r>
            <w:r w:rsidR="00BF4818" w:rsidRPr="004B6CD8">
              <w:rPr>
                <w:noProof/>
              </w:rPr>
              <w:t>in January 2026</w:t>
            </w:r>
            <w:r w:rsidR="00741715">
              <w:rPr>
                <w:noProof/>
              </w:rPr>
              <w:t>,</w:t>
            </w:r>
            <w:r w:rsidRPr="004B6CD8">
              <w:rPr>
                <w:noProof/>
              </w:rPr>
              <w:t xml:space="preserve"> </w:t>
            </w:r>
            <w:r w:rsidR="00790018">
              <w:rPr>
                <w:noProof/>
              </w:rPr>
              <w:t xml:space="preserve">which was assessed </w:t>
            </w:r>
            <w:r w:rsidR="00741715">
              <w:rPr>
                <w:noProof/>
              </w:rPr>
              <w:t>as</w:t>
            </w:r>
            <w:r w:rsidRPr="004B6CD8">
              <w:rPr>
                <w:noProof/>
              </w:rPr>
              <w:t xml:space="preserve"> </w:t>
            </w:r>
            <w:r w:rsidR="00741715" w:rsidRPr="004B6CD8">
              <w:rPr>
                <w:noProof/>
              </w:rPr>
              <w:t>satisfactory</w:t>
            </w:r>
            <w:r w:rsidR="00790018">
              <w:rPr>
                <w:noProof/>
              </w:rPr>
              <w:t xml:space="preserve"> by the IAS</w:t>
            </w:r>
            <w:r w:rsidRPr="004B6CD8">
              <w:rPr>
                <w:noProof/>
              </w:rPr>
              <w:t xml:space="preserve">. All planned measures related to this recommendation are ongoing and fully on track. They are expected to be fully </w:t>
            </w:r>
            <w:r w:rsidR="00823F1E">
              <w:rPr>
                <w:noProof/>
              </w:rPr>
              <w:t>implemented</w:t>
            </w:r>
            <w:r w:rsidRPr="004B6CD8">
              <w:rPr>
                <w:noProof/>
              </w:rPr>
              <w:t xml:space="preserve"> within the agreed timeframe (end of December 2026).</w:t>
            </w:r>
          </w:p>
        </w:tc>
      </w:tr>
    </w:tbl>
    <w:p w14:paraId="594097C1" w14:textId="4C6C7B0C" w:rsidR="00FC2817" w:rsidRPr="004B6CD8" w:rsidRDefault="006B33AD" w:rsidP="00D74BE0">
      <w:pPr>
        <w:pStyle w:val="amprH3Title2-Numbered-11"/>
        <w:numPr>
          <w:ilvl w:val="1"/>
          <w:numId w:val="51"/>
        </w:numPr>
        <w:rPr>
          <w:noProof/>
        </w:rPr>
      </w:pPr>
      <w:bookmarkStart w:id="44" w:name="_Toc231235434"/>
      <w:r w:rsidRPr="004B6CD8">
        <w:rPr>
          <w:noProof/>
        </w:rPr>
        <w:t>InvestEU Fund – methodology for key performance indicators and key monitoring indicators, controls over indicators and internal steering and cooperation mechanism</w:t>
      </w:r>
      <w:r w:rsidR="00FF7FD8">
        <w:rPr>
          <w:noProof/>
        </w:rPr>
        <w:t xml:space="preserve"> (DG GROW)</w:t>
      </w:r>
      <w:bookmarkEnd w:id="44"/>
    </w:p>
    <w:p w14:paraId="77F293EA" w14:textId="77777777" w:rsidR="006B33AD" w:rsidRPr="004B6CD8" w:rsidRDefault="006B33AD" w:rsidP="006B33AD">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the adequacy of the design and the effective implementation of: (a) the internal steering and coordination mechanism put in place by DG GROW for the financing of the InvestEU Fund operations; (b) the methodology developed on indicators (key performance indicators and key monitoring indicators) to monitor the implementation of the InvestEU Fund; and (c) the controls put in place over the operational reporting by Implementing Partners (IPs).</w:t>
      </w:r>
    </w:p>
    <w:p w14:paraId="30216BD9" w14:textId="77777777" w:rsidR="006B33AD" w:rsidRPr="004B6CD8" w:rsidRDefault="006B33AD" w:rsidP="006B33AD">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0D3336C8" w14:textId="77777777" w:rsidR="006B33AD" w:rsidRPr="004B6CD8" w:rsidRDefault="006B33AD" w:rsidP="006B33AD">
      <w:pPr>
        <w:jc w:val="both"/>
        <w:rPr>
          <w:rFonts w:cs="Times New Roman"/>
          <w:i/>
          <w:iCs/>
          <w:noProof/>
          <w:color w:val="003399" w:themeColor="text2"/>
          <w:lang w:val="en-GB"/>
        </w:rPr>
      </w:pPr>
      <w:r w:rsidRPr="004B6CD8">
        <w:rPr>
          <w:rFonts w:cs="Times New Roman"/>
          <w:i/>
          <w:iCs/>
          <w:noProof/>
          <w:color w:val="003399" w:themeColor="text2"/>
          <w:lang w:val="en-GB"/>
        </w:rPr>
        <w:t>Is there an adequate and effective internal steering and coordination mechanism in place, allowing DG GROW to meet the InvestEU Fund’s objectives and to maximise its impact?</w:t>
      </w:r>
    </w:p>
    <w:p w14:paraId="00C94D0F" w14:textId="0824757F" w:rsidR="006B33AD" w:rsidRPr="004B6CD8" w:rsidRDefault="006B33AD" w:rsidP="006B33AD">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Commission (DG ECFIN and since February 2025 DG GROW) has established an adequate and effective internal mechanism that allows the participating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to provide appropriate policy steer and coordination. Commission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have access to timely and adequate data on the implementation of InvestEU operations. Moreover, there is a clear and comprehensive division of work, roles and responsibilities between the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involved in the implementation of the InvestEU Fund. This was confirmed by the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that participated in the survey launched by the IAS as part of this audit. 85% of the survey participants agreed that the roles and responsibilities of DG GROW and their own DG as regards the implementation of the InvestEU Fund are clearly defined and well understood.</w:t>
      </w:r>
    </w:p>
    <w:p w14:paraId="459DE6FB" w14:textId="77777777" w:rsidR="006B33AD" w:rsidRPr="004B6CD8" w:rsidRDefault="006B33AD" w:rsidP="006B33AD">
      <w:pPr>
        <w:jc w:val="both"/>
        <w:rPr>
          <w:rFonts w:cs="Times New Roman"/>
          <w:i/>
          <w:iCs/>
          <w:noProof/>
          <w:color w:val="003399" w:themeColor="text2"/>
          <w:lang w:val="en-GB"/>
        </w:rPr>
      </w:pPr>
      <w:r w:rsidRPr="004B6CD8">
        <w:rPr>
          <w:rFonts w:cs="Times New Roman"/>
          <w:i/>
          <w:iCs/>
          <w:noProof/>
          <w:color w:val="003399" w:themeColor="text2"/>
          <w:lang w:val="en-GB"/>
        </w:rPr>
        <w:t>Has DG GROW established a robust methodology on performance and monitoring indicators for the financing of InvestEU Fund operations and is this effectively used to monitor the implementation of the Fund?</w:t>
      </w:r>
    </w:p>
    <w:p w14:paraId="55B2FD4E" w14:textId="77777777" w:rsidR="006B33AD" w:rsidRPr="004B6CD8" w:rsidRDefault="006B33AD" w:rsidP="006B33AD">
      <w:pPr>
        <w:jc w:val="both"/>
        <w:rPr>
          <w:rFonts w:eastAsia="Calibri" w:cs="Times New Roman"/>
          <w:noProof/>
          <w:kern w:val="0"/>
          <w:lang w:val="en-GB"/>
          <w14:ligatures w14:val="none"/>
        </w:rPr>
      </w:pPr>
      <w:r w:rsidRPr="004B6CD8">
        <w:rPr>
          <w:rFonts w:eastAsia="Calibri" w:cs="Times New Roman"/>
          <w:noProof/>
          <w:kern w:val="0"/>
          <w:lang w:val="en-GB"/>
          <w14:ligatures w14:val="none"/>
        </w:rPr>
        <w:t>The performance management framework for the InvestEU Fund has been defined in the InvestEU Regulation, which contains both key performance and key monitoring indicators. In June 2022, DG ECFIN developed the methodology for the calculation of InvestEU key performance and key monitoring indicators which was then revised in February 2024 to include additional indicators proposed by the InvestEU Steering Board (such as indicators on climate mitigation, biodiversity and gender equality) and to clarify some of the calculation methodologies.</w:t>
      </w:r>
    </w:p>
    <w:p w14:paraId="4EAC81A3" w14:textId="77777777" w:rsidR="006B33AD" w:rsidRPr="004B6CD8" w:rsidRDefault="006B33AD" w:rsidP="006B33AD">
      <w:pPr>
        <w:jc w:val="both"/>
        <w:rPr>
          <w:rFonts w:eastAsia="Calibri" w:cs="Times New Roman"/>
          <w:noProof/>
          <w:kern w:val="0"/>
          <w:lang w:val="en-GB"/>
          <w14:ligatures w14:val="none"/>
        </w:rPr>
      </w:pPr>
      <w:r w:rsidRPr="004B6CD8">
        <w:rPr>
          <w:rFonts w:eastAsia="Calibri" w:cs="Times New Roman"/>
          <w:noProof/>
          <w:kern w:val="0"/>
          <w:lang w:val="en-GB"/>
          <w14:ligatures w14:val="none"/>
        </w:rPr>
        <w:t>When assessing the performance management framework put in place to track the progress of InvestEU towards the achievement of the Union’s objectives and evaluate its performance the IAS found that the objectives defined in the legal basis are not ‘specific’, the indicators have no baselines and are not always accompanied by a target. Moreover, the approach to measure the long-term effect of the programme has not yet been defined. Additionally, specific indicators for digitisation and climate are not fully aligned with best practices set in these areas by the Commission or are not independently verified.</w:t>
      </w:r>
    </w:p>
    <w:p w14:paraId="4AF61E0F" w14:textId="77777777" w:rsidR="006B33AD" w:rsidRPr="004B6CD8" w:rsidRDefault="006B33AD" w:rsidP="006B33AD">
      <w:pPr>
        <w:jc w:val="both"/>
        <w:rPr>
          <w:rFonts w:eastAsia="Calibri" w:cs="Times New Roman"/>
          <w:noProof/>
          <w:kern w:val="0"/>
          <w:lang w:val="en-GB"/>
          <w14:ligatures w14:val="none"/>
        </w:rPr>
      </w:pPr>
      <w:r w:rsidRPr="004B6CD8">
        <w:rPr>
          <w:rFonts w:eastAsia="Calibri" w:cs="Times New Roman"/>
          <w:noProof/>
          <w:kern w:val="0"/>
          <w:lang w:val="en-GB"/>
          <w14:ligatures w14:val="none"/>
        </w:rPr>
        <w:t>As part of their control activities, DG GROW officers perform checks on the aggregate data reported by the IPs on a semi-annual basis and carry out monitoring visits to the IPs. However, the internal control strategy does not: (a) define which specific checks should be performed during the monitoring visits to ensure the completeness and accuracy of the data underlying the aggregate values of indicators provided by the implementing partners; (b) formalise the target in terms of implementing partners to be visited each year, and (c) define the approach for selecting implementing partners to be accompanied on their visits to financial intermediaries/financial beneficiaries.</w:t>
      </w:r>
    </w:p>
    <w:p w14:paraId="5EEC091A" w14:textId="77777777" w:rsidR="006B33AD" w:rsidRPr="004B6CD8" w:rsidRDefault="006B33AD" w:rsidP="006B33AD">
      <w:pPr>
        <w:jc w:val="both"/>
        <w:rPr>
          <w:rFonts w:eastAsia="Calibri" w:cs="Times New Roman"/>
          <w:noProof/>
          <w:kern w:val="0"/>
          <w:lang w:val="en-GB"/>
          <w14:ligatures w14:val="none"/>
        </w:rPr>
      </w:pPr>
      <w:r w:rsidRPr="004B6CD8">
        <w:rPr>
          <w:rFonts w:eastAsia="Calibri" w:cs="Times New Roman"/>
          <w:noProof/>
          <w:kern w:val="0"/>
          <w:lang w:val="en-GB"/>
          <w14:ligatures w14:val="none"/>
        </w:rPr>
        <w:t>Article 8(8) of the InvestEU Regulation and the Commission Notice on the InvestEU Programme climate and environmental tracking guidance stipulate that the Commission, together with the implementing partners, shall seek to ensure a balanced distribution between the projects mainly contributing to climate mitigation priorities and those contributing to environmental priorities under the ‘Sustainable Infrastructure Window’ of InvestEU. The analysis carried out by the IAS of the available data indicated a 95%-5% split between climate and environmental spending for the Sustainable Infrastructure Window (by the end of 2024), which is below the expectations in the area.</w:t>
      </w:r>
    </w:p>
    <w:p w14:paraId="20261A9D" w14:textId="77777777" w:rsidR="006B33AD" w:rsidRPr="004B6CD8" w:rsidRDefault="006B33AD" w:rsidP="006B33AD">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70D7CFA6" w14:textId="77777777" w:rsidR="006B33AD" w:rsidRPr="004B6CD8" w:rsidRDefault="006B33AD" w:rsidP="006B33AD">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overall, DG GROW has designed and implemented an adequate and effective internal steering and coordination mechanism for the financing of InvestEU Fund operations and has put in place a robust methodology on performance and monitoring indicators to monitor the implementation of InvestEU, except for one very important issue related to the quality of objectives and key performance indicators and key monitoring indicators set in the legal basis.</w:t>
      </w:r>
    </w:p>
    <w:p w14:paraId="1C54E839" w14:textId="796CF308"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52D65D21" w14:textId="63B468A6" w:rsidR="00915A2D" w:rsidRDefault="006B33AD" w:rsidP="008A53FC">
      <w:pPr>
        <w:jc w:val="both"/>
        <w:rPr>
          <w:b/>
          <w:bCs/>
          <w:noProof/>
          <w:color w:val="003399" w:themeColor="text2"/>
          <w:lang w:val="en-GB"/>
        </w:rPr>
      </w:pPr>
      <w:r w:rsidRPr="004B6CD8">
        <w:rPr>
          <w:noProof/>
          <w:lang w:val="en-GB"/>
        </w:rPr>
        <w:t>Recommendation No 1</w:t>
      </w:r>
      <w:r w:rsidR="00915A2D">
        <w:rPr>
          <w:noProof/>
          <w:lang w:val="en-GB"/>
        </w:rPr>
        <w:t xml:space="preserve">, on the </w:t>
      </w:r>
      <w:r w:rsidR="00915A2D">
        <w:rPr>
          <w:b/>
          <w:bCs/>
          <w:noProof/>
          <w:color w:val="003399" w:themeColor="text2"/>
          <w:lang w:val="en-GB"/>
        </w:rPr>
        <w:t>p</w:t>
      </w:r>
      <w:r w:rsidR="00915A2D" w:rsidRPr="008A53FC">
        <w:rPr>
          <w:b/>
          <w:bCs/>
          <w:noProof/>
          <w:color w:val="003399" w:themeColor="text2"/>
          <w:lang w:val="en-GB"/>
        </w:rPr>
        <w:t>erformance management system,</w:t>
      </w:r>
      <w:r w:rsidRPr="004B6CD8">
        <w:rPr>
          <w:b/>
          <w:bCs/>
          <w:noProof/>
          <w:color w:val="003399" w:themeColor="text2"/>
          <w:lang w:val="en-GB"/>
        </w:rPr>
        <w:t xml:space="preserve"> DG GROW </w:t>
      </w:r>
      <w:r w:rsidRPr="008A53FC">
        <w:rPr>
          <w:rFonts w:eastAsia="Calibri" w:cs="Times New Roman"/>
          <w:noProof/>
          <w:kern w:val="0"/>
          <w:lang w:val="en-GB"/>
          <w14:ligatures w14:val="none"/>
        </w:rPr>
        <w:t>should</w:t>
      </w:r>
      <w:r w:rsidR="00915A2D">
        <w:rPr>
          <w:b/>
          <w:bCs/>
          <w:noProof/>
          <w:color w:val="003399" w:themeColor="text2"/>
          <w:lang w:val="en-GB"/>
        </w:rPr>
        <w:t>:</w:t>
      </w:r>
    </w:p>
    <w:p w14:paraId="3EE42E95" w14:textId="1B1F9421" w:rsidR="00FC2817" w:rsidRPr="004B6CD8" w:rsidRDefault="006B33AD" w:rsidP="00376F52">
      <w:pPr>
        <w:pStyle w:val="amprLISTtealbullets-L1"/>
        <w:spacing w:after="240"/>
        <w:ind w:left="782" w:hanging="357"/>
        <w:rPr>
          <w:noProof/>
        </w:rPr>
      </w:pPr>
      <w:r w:rsidRPr="004B6CD8">
        <w:rPr>
          <w:noProof/>
        </w:rPr>
        <w:t>improve the design of the performance management system.</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FC2817" w:rsidRPr="007F05B2" w14:paraId="4712AE31" w14:textId="77777777">
        <w:tc>
          <w:tcPr>
            <w:tcW w:w="9057" w:type="dxa"/>
          </w:tcPr>
          <w:p w14:paraId="77DF4A16" w14:textId="77777777" w:rsidR="006B33AD" w:rsidRPr="004B6CD8" w:rsidRDefault="006B33AD">
            <w:pPr>
              <w:jc w:val="both"/>
              <w:rPr>
                <w:b/>
                <w:bCs/>
                <w:noProof/>
                <w:color w:val="003399" w:themeColor="text2"/>
              </w:rPr>
            </w:pPr>
            <w:r w:rsidRPr="004B6CD8">
              <w:rPr>
                <w:b/>
                <w:bCs/>
                <w:noProof/>
                <w:color w:val="003399" w:themeColor="text2"/>
              </w:rPr>
              <w:t>Additional information provided by DG GROW on the implemented measures</w:t>
            </w:r>
          </w:p>
          <w:p w14:paraId="5A749F5E" w14:textId="061BD677" w:rsidR="006B33AD" w:rsidRPr="004B6CD8" w:rsidRDefault="00C10A2C" w:rsidP="006B33AD">
            <w:pPr>
              <w:rPr>
                <w:noProof/>
              </w:rPr>
            </w:pPr>
            <w:r w:rsidRPr="00C10A2C">
              <w:rPr>
                <w:noProof/>
              </w:rPr>
              <w:t xml:space="preserve">DG GROW </w:t>
            </w:r>
            <w:r w:rsidR="6A0B4E02" w:rsidRPr="77496ADF">
              <w:rPr>
                <w:noProof/>
              </w:rPr>
              <w:t xml:space="preserve">submitted a </w:t>
            </w:r>
            <w:r w:rsidRPr="00C10A2C">
              <w:rPr>
                <w:noProof/>
              </w:rPr>
              <w:t>draft action plan</w:t>
            </w:r>
            <w:r w:rsidR="03528D07" w:rsidRPr="14FBDC0E">
              <w:rPr>
                <w:noProof/>
              </w:rPr>
              <w:t xml:space="preserve">, which is </w:t>
            </w:r>
            <w:r w:rsidR="03528D07" w:rsidRPr="554B55E3">
              <w:rPr>
                <w:noProof/>
              </w:rPr>
              <w:t>being assessed by the IAS</w:t>
            </w:r>
            <w:r w:rsidR="0049045C">
              <w:rPr>
                <w:noProof/>
              </w:rPr>
              <w:t>.</w:t>
            </w:r>
            <w:r w:rsidRPr="554B55E3">
              <w:rPr>
                <w:noProof/>
              </w:rPr>
              <w:t xml:space="preserve"> </w:t>
            </w:r>
            <w:r w:rsidRPr="00C10A2C">
              <w:rPr>
                <w:noProof/>
              </w:rPr>
              <w:t>Nevertheless, DG GROW already started the implementation of the actions it proposed in the action plan.</w:t>
            </w:r>
          </w:p>
        </w:tc>
      </w:tr>
    </w:tbl>
    <w:p w14:paraId="155EB0DF" w14:textId="581B3C1D" w:rsidR="00FC2817" w:rsidRPr="004B6CD8" w:rsidRDefault="00F0072F" w:rsidP="00D74BE0">
      <w:pPr>
        <w:pStyle w:val="amprH3Title2-Numbered-11"/>
        <w:numPr>
          <w:ilvl w:val="1"/>
          <w:numId w:val="51"/>
        </w:numPr>
        <w:rPr>
          <w:noProof/>
        </w:rPr>
      </w:pPr>
      <w:bookmarkStart w:id="45" w:name="_Toc231235435"/>
      <w:r w:rsidRPr="004B6CD8">
        <w:rPr>
          <w:noProof/>
        </w:rPr>
        <w:t xml:space="preserve">Control results provided by partners (management declarations) </w:t>
      </w:r>
      <w:r w:rsidR="00FF7FD8">
        <w:rPr>
          <w:noProof/>
        </w:rPr>
        <w:t xml:space="preserve">(DG </w:t>
      </w:r>
      <w:r w:rsidRPr="004B6CD8">
        <w:rPr>
          <w:noProof/>
        </w:rPr>
        <w:t>INTPA</w:t>
      </w:r>
      <w:r w:rsidR="00FF7FD8">
        <w:rPr>
          <w:noProof/>
        </w:rPr>
        <w:t>)</w:t>
      </w:r>
      <w:bookmarkEnd w:id="45"/>
    </w:p>
    <w:p w14:paraId="2E217E9E" w14:textId="77777777" w:rsidR="00F0072F" w:rsidRPr="004B6CD8" w:rsidRDefault="00F0072F" w:rsidP="00F0072F">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limited review was to assess whether DG INTPA has designed and implements an adequate system that ensures that the management declarations effectively contribute to the assurance on the effective implementation of EU funds under indirect management with entrusted entities, as well as on the accuracy of financial reporting and its compliance with the Financial Regulation.</w:t>
      </w:r>
    </w:p>
    <w:p w14:paraId="56034FEF" w14:textId="77777777" w:rsidR="00F0072F" w:rsidRPr="004B6CD8" w:rsidRDefault="00F0072F" w:rsidP="00F0072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581E6A2D" w14:textId="77777777" w:rsidR="00F0072F" w:rsidRPr="004B6CD8" w:rsidRDefault="00F0072F" w:rsidP="00F0072F">
      <w:pPr>
        <w:jc w:val="both"/>
        <w:rPr>
          <w:rFonts w:cs="Times New Roman"/>
          <w:i/>
          <w:iCs/>
          <w:noProof/>
          <w:color w:val="003399" w:themeColor="text2"/>
          <w:lang w:val="en-GB"/>
        </w:rPr>
      </w:pPr>
      <w:r w:rsidRPr="004B6CD8">
        <w:rPr>
          <w:rFonts w:cs="Times New Roman"/>
          <w:i/>
          <w:iCs/>
          <w:noProof/>
          <w:color w:val="003399" w:themeColor="text2"/>
          <w:lang w:val="en-GB"/>
        </w:rPr>
        <w:t>Has DG INTPA designed an adequate control framework to comply with the Financial Regulation requirements on management declarations?</w:t>
      </w:r>
    </w:p>
    <w:p w14:paraId="21DC1ED6" w14:textId="77777777" w:rsidR="00F0072F" w:rsidRPr="004B6CD8" w:rsidRDefault="00F0072F" w:rsidP="00F0072F">
      <w:pPr>
        <w:jc w:val="both"/>
        <w:rPr>
          <w:rFonts w:eastAsia="Calibri" w:cs="Times New Roman"/>
          <w:noProof/>
          <w:kern w:val="0"/>
          <w:lang w:val="en-GB"/>
          <w14:ligatures w14:val="none"/>
        </w:rPr>
      </w:pPr>
      <w:r w:rsidRPr="004B6CD8">
        <w:rPr>
          <w:rFonts w:eastAsia="Calibri" w:cs="Times New Roman"/>
          <w:noProof/>
          <w:kern w:val="0"/>
          <w:lang w:val="en-GB"/>
          <w14:ligatures w14:val="none"/>
        </w:rPr>
        <w:t>DG INTPA has put in place a control framework for the management declarations which encompasses guidance and checklists for the staff and templates related to contribution agreements (including for financial instruments) that the entrusted entities have to use for their management declarations. However, the IAS found that guidance (instructions, templates and checklists) is not accurate, complete and/or sufficiently clear on some important elements of the management declaration handling process which would enable more effective controls on the compliance of the management declaration with the requirements of the Financial Regulation. During the fieldwork, the IAS also found that there is no mechanism, neither at local or at corporate level, to collect and analyse information on issues encountered with global management declarations in view of identifying and addressing systemic/ repetitive issues.</w:t>
      </w:r>
    </w:p>
    <w:p w14:paraId="1497AD18" w14:textId="77777777" w:rsidR="00F0072F" w:rsidRPr="004B6CD8" w:rsidRDefault="00F0072F" w:rsidP="00F0072F">
      <w:pPr>
        <w:jc w:val="both"/>
        <w:rPr>
          <w:rFonts w:cs="Times New Roman"/>
          <w:i/>
          <w:iCs/>
          <w:noProof/>
          <w:color w:val="003399" w:themeColor="text2"/>
          <w:lang w:val="en-GB"/>
        </w:rPr>
      </w:pPr>
      <w:r w:rsidRPr="004B6CD8">
        <w:rPr>
          <w:rFonts w:cs="Times New Roman"/>
          <w:i/>
          <w:iCs/>
          <w:noProof/>
          <w:color w:val="003399" w:themeColor="text2"/>
          <w:lang w:val="en-GB"/>
        </w:rPr>
        <w:t>Does DG INTPA implement its control system effectively, efficiently, and in line with the rules in place?</w:t>
      </w:r>
    </w:p>
    <w:p w14:paraId="19D831C9" w14:textId="1FF89959" w:rsidR="00F0072F" w:rsidRPr="004B6CD8" w:rsidRDefault="00F0072F" w:rsidP="00F0072F">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found that a management declaration was available for 38 out of 39 sampled files for which it was required. However, the controls designed were not always implemented effectively, efficiently, and in line with the applicable rules. The IAS identified two major issues concerning the handling of management declarations, notably: (a) submission deadline and validity period for payments and clearings of global management declarations was not aligned with the provisions of the Financial Regulation; (b) insufficient and/or inadequate checks, resulting in accepting as valid for processing payments and clearings management declarations that were either non-compliant with the agreements and/or templates or not accompanied by an audit opinion. The IAS also found that DG INTPA’s approach to preparing the Annual Activity Report does not align with the principle of sound financial management as the assurance relies on global management declarations from the preceding year rather than those pertaining to the year covered by the Annual Activity Report.</w:t>
      </w:r>
    </w:p>
    <w:p w14:paraId="15FAAB1D" w14:textId="77777777" w:rsidR="00F0072F" w:rsidRPr="004B6CD8" w:rsidRDefault="00F0072F" w:rsidP="00F0072F">
      <w:pPr>
        <w:jc w:val="both"/>
        <w:rPr>
          <w:rFonts w:cs="Times New Roman"/>
          <w:i/>
          <w:iCs/>
          <w:noProof/>
          <w:color w:val="003399" w:themeColor="text2"/>
          <w:lang w:val="en-GB"/>
        </w:rPr>
      </w:pPr>
      <w:r w:rsidRPr="004B6CD8">
        <w:rPr>
          <w:rFonts w:cs="Times New Roman"/>
          <w:i/>
          <w:iCs/>
          <w:noProof/>
          <w:color w:val="003399" w:themeColor="text2"/>
          <w:lang w:val="en-GB"/>
        </w:rPr>
        <w:t>Does DG INTPA’s reporting on management declarations in the Annual Activity Report comply with DG BUDG’s instructions?</w:t>
      </w:r>
    </w:p>
    <w:p w14:paraId="4C8328C3" w14:textId="77777777" w:rsidR="00F0072F" w:rsidRPr="004B6CD8" w:rsidRDefault="00F0072F" w:rsidP="00F0072F">
      <w:pPr>
        <w:jc w:val="both"/>
        <w:rPr>
          <w:rFonts w:eastAsia="Calibri" w:cs="Times New Roman"/>
          <w:noProof/>
          <w:kern w:val="0"/>
          <w:lang w:val="en-GB"/>
          <w14:ligatures w14:val="none"/>
        </w:rPr>
      </w:pPr>
      <w:r w:rsidRPr="004B6CD8">
        <w:rPr>
          <w:rFonts w:eastAsia="Calibri" w:cs="Times New Roman"/>
          <w:noProof/>
          <w:kern w:val="0"/>
          <w:lang w:val="en-GB"/>
          <w14:ligatures w14:val="none"/>
        </w:rPr>
        <w:t>DG INTPA reporting on management declarations in the Annual Activity Reports is not fully in line with DG BUDG’s instructions as the DG does not collect all the data necessary to properly fill in the tables on management declarations.</w:t>
      </w:r>
    </w:p>
    <w:p w14:paraId="5EBFA7A4" w14:textId="77777777" w:rsidR="00F0072F" w:rsidRPr="004B6CD8" w:rsidRDefault="00F0072F" w:rsidP="00F0072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798F2082" w14:textId="4AF5BE4D" w:rsidR="00081853" w:rsidRDefault="00F0072F" w:rsidP="00F0072F">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the system designed and implemented by DG INTPA to ensure that the management declarations contribute to the assurance on the effective implementation of EU funds under indirect management with entrusted entities, the accuracy of financial reporting and its compliance with the Financial Regulation is adequate except for two very important issues related to some aspects of the design of the control framework for management declarations, and the effectiveness and efficiency of management declarations as a control measure.</w:t>
      </w:r>
    </w:p>
    <w:p w14:paraId="005D9878" w14:textId="2AB64F75"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76B61849" w14:textId="2F131259" w:rsidR="00FC2817" w:rsidRPr="00874637" w:rsidRDefault="001771BF" w:rsidP="66263CC9">
      <w:pPr>
        <w:jc w:val="both"/>
        <w:rPr>
          <w:rFonts w:eastAsia="Calibri" w:cs="Times New Roman"/>
          <w:noProof/>
          <w:kern w:val="0"/>
          <w:lang w:val="en-IE"/>
          <w14:ligatures w14:val="none"/>
        </w:rPr>
      </w:pPr>
      <w:r w:rsidRPr="00874637">
        <w:rPr>
          <w:rFonts w:eastAsia="Calibri" w:cs="Times New Roman"/>
          <w:noProof/>
          <w:lang w:val="en-IE"/>
        </w:rPr>
        <w:t xml:space="preserve">Recommendation No </w:t>
      </w:r>
      <w:r w:rsidR="00647CFC" w:rsidRPr="00874637">
        <w:rPr>
          <w:rFonts w:eastAsia="Calibri" w:cs="Times New Roman"/>
          <w:noProof/>
          <w:lang w:val="en-IE"/>
        </w:rPr>
        <w:t>1, o</w:t>
      </w:r>
      <w:r w:rsidR="00FC2817" w:rsidRPr="00874637">
        <w:rPr>
          <w:rFonts w:eastAsia="Calibri" w:cs="Times New Roman"/>
          <w:noProof/>
          <w:lang w:val="en-IE"/>
        </w:rPr>
        <w:t>n</w:t>
      </w:r>
      <w:r w:rsidR="00F0072F" w:rsidRPr="00874637">
        <w:rPr>
          <w:rFonts w:eastAsia="Calibri" w:cs="Times New Roman"/>
          <w:noProof/>
          <w:lang w:val="en-IE"/>
        </w:rPr>
        <w:t xml:space="preserve"> the </w:t>
      </w:r>
      <w:r w:rsidR="00F0072F" w:rsidRPr="00874637">
        <w:rPr>
          <w:rStyle w:val="BoldAccent1"/>
          <w:noProof/>
          <w:color w:val="003399" w:themeColor="text2"/>
          <w:lang w:val="en-IE"/>
        </w:rPr>
        <w:t>design of the control framework for management declarations</w:t>
      </w:r>
      <w:r w:rsidR="00FC2817" w:rsidRPr="00874637">
        <w:rPr>
          <w:rStyle w:val="BoldAccent1"/>
          <w:noProof/>
          <w:color w:val="003399" w:themeColor="text2"/>
          <w:lang w:val="en-IE"/>
        </w:rPr>
        <w:t xml:space="preserve">, DG </w:t>
      </w:r>
      <w:r w:rsidR="00F0072F" w:rsidRPr="00874637">
        <w:rPr>
          <w:rStyle w:val="BoldAccent1"/>
          <w:noProof/>
          <w:color w:val="003399" w:themeColor="text2"/>
          <w:lang w:val="en-IE"/>
        </w:rPr>
        <w:t>INTPA</w:t>
      </w:r>
      <w:r w:rsidR="00FC2817" w:rsidRPr="00874637">
        <w:rPr>
          <w:rStyle w:val="BoldAccent1"/>
          <w:noProof/>
          <w:color w:val="003399" w:themeColor="text2"/>
          <w:lang w:val="en-IE"/>
        </w:rPr>
        <w:t xml:space="preserve"> </w:t>
      </w:r>
      <w:r w:rsidR="00FC2817" w:rsidRPr="00874637">
        <w:rPr>
          <w:rFonts w:eastAsia="Calibri" w:cs="Times New Roman"/>
          <w:noProof/>
          <w:kern w:val="0"/>
          <w:lang w:val="en-IE"/>
          <w14:ligatures w14:val="none"/>
        </w:rPr>
        <w:t xml:space="preserve">should: </w:t>
      </w:r>
    </w:p>
    <w:p w14:paraId="1DED9009" w14:textId="36962AC7" w:rsidR="00F0072F" w:rsidRPr="004B6CD8" w:rsidRDefault="00F0072F" w:rsidP="00FC2817">
      <w:pPr>
        <w:pStyle w:val="amprLISTtealbullets-L1"/>
        <w:rPr>
          <w:rFonts w:eastAsia="Calibri" w:cs="Times New Roman"/>
          <w:noProof/>
        </w:rPr>
      </w:pPr>
      <w:r w:rsidRPr="004B6CD8">
        <w:rPr>
          <w:rFonts w:eastAsia="Calibri" w:cs="Times New Roman"/>
          <w:noProof/>
        </w:rPr>
        <w:t>improve the control framework for management declarations.</w:t>
      </w:r>
    </w:p>
    <w:p w14:paraId="42CEB1DD" w14:textId="09B3A7D1" w:rsidR="00FC2817" w:rsidRPr="00874637" w:rsidRDefault="001771BF" w:rsidP="66263CC9">
      <w:pPr>
        <w:rPr>
          <w:noProof/>
          <w:lang w:val="en-IE"/>
        </w:rPr>
      </w:pPr>
      <w:r w:rsidRPr="00874637">
        <w:rPr>
          <w:noProof/>
          <w:lang w:val="en-IE"/>
        </w:rPr>
        <w:t xml:space="preserve">Recommendation No </w:t>
      </w:r>
      <w:r w:rsidR="00647CFC" w:rsidRPr="00874637">
        <w:rPr>
          <w:noProof/>
          <w:lang w:val="en-IE"/>
        </w:rPr>
        <w:t>2, o</w:t>
      </w:r>
      <w:r w:rsidR="00F0072F" w:rsidRPr="00874637">
        <w:rPr>
          <w:noProof/>
          <w:lang w:val="en-IE"/>
        </w:rPr>
        <w:t xml:space="preserve">n the </w:t>
      </w:r>
      <w:r w:rsidR="00F0072F" w:rsidRPr="00874637">
        <w:rPr>
          <w:rStyle w:val="BoldAccent1"/>
          <w:noProof/>
          <w:color w:val="003399" w:themeColor="text2"/>
          <w:lang w:val="en-IE"/>
        </w:rPr>
        <w:t xml:space="preserve">assurance provided from global management declarations, DG INTPA </w:t>
      </w:r>
      <w:r w:rsidR="00F0072F" w:rsidRPr="00874637">
        <w:rPr>
          <w:noProof/>
          <w:lang w:val="en-IE"/>
        </w:rPr>
        <w:t>should:</w:t>
      </w:r>
    </w:p>
    <w:p w14:paraId="0E8A432E" w14:textId="725195BB" w:rsidR="00FC2817" w:rsidRPr="004B6CD8" w:rsidRDefault="00F0072F" w:rsidP="00592486">
      <w:pPr>
        <w:pStyle w:val="amprLISTtealbullets-L1"/>
        <w:spacing w:after="240"/>
        <w:ind w:left="782" w:hanging="357"/>
        <w:rPr>
          <w:rFonts w:eastAsia="Calibri" w:cs="Times New Roman"/>
          <w:noProof/>
        </w:rPr>
      </w:pPr>
      <w:r w:rsidRPr="004B6CD8">
        <w:rPr>
          <w:rFonts w:eastAsia="Calibri" w:cs="Times New Roman"/>
          <w:noProof/>
        </w:rPr>
        <w:t>increase the effectiveness of management declarations as a control tool.</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FC2817" w:rsidRPr="004B6CD8" w14:paraId="48816FF4" w14:textId="77777777">
        <w:tc>
          <w:tcPr>
            <w:tcW w:w="9057" w:type="dxa"/>
          </w:tcPr>
          <w:p w14:paraId="693FF1A8" w14:textId="2AE9F207" w:rsidR="00FC2817" w:rsidRPr="004B6CD8" w:rsidRDefault="00F0072F">
            <w:pPr>
              <w:pStyle w:val="boldblue"/>
            </w:pPr>
            <w:r w:rsidRPr="004B6CD8">
              <w:t>Additional information provided by DG INTPA on the implemented measures</w:t>
            </w:r>
          </w:p>
          <w:p w14:paraId="5526B1D7" w14:textId="2EA98796" w:rsidR="00FC2817" w:rsidRPr="004B6CD8" w:rsidRDefault="00DA5770">
            <w:pPr>
              <w:jc w:val="both"/>
              <w:rPr>
                <w:noProof/>
              </w:rPr>
            </w:pPr>
            <w:r>
              <w:rPr>
                <w:noProof/>
              </w:rPr>
              <w:t>INTPA drafted an action plan that was accepted by IAS. DG INTPA has already implemented Recommendation No 2, with follow-up pending by IAS. Implementation of Recommendation 1 is underway.</w:t>
            </w:r>
          </w:p>
        </w:tc>
      </w:tr>
    </w:tbl>
    <w:p w14:paraId="432D5B96" w14:textId="42D53F49" w:rsidR="00FC2817" w:rsidRPr="004B6CD8" w:rsidRDefault="000323FF" w:rsidP="00D74BE0">
      <w:pPr>
        <w:pStyle w:val="amprH3Title2-Numbered-11"/>
        <w:numPr>
          <w:ilvl w:val="1"/>
          <w:numId w:val="51"/>
        </w:numPr>
        <w:rPr>
          <w:noProof/>
        </w:rPr>
      </w:pPr>
      <w:bookmarkStart w:id="46" w:name="_Toc231235436"/>
      <w:r w:rsidRPr="004B6CD8">
        <w:rPr>
          <w:noProof/>
        </w:rPr>
        <w:t xml:space="preserve">Control results provided by partners </w:t>
      </w:r>
      <w:r w:rsidR="008924B2">
        <w:rPr>
          <w:noProof/>
        </w:rPr>
        <w:t xml:space="preserve">– </w:t>
      </w:r>
      <w:r w:rsidRPr="004B6CD8">
        <w:rPr>
          <w:noProof/>
        </w:rPr>
        <w:t xml:space="preserve">management declarations </w:t>
      </w:r>
      <w:r w:rsidR="008924B2">
        <w:rPr>
          <w:noProof/>
        </w:rPr>
        <w:t xml:space="preserve">(DG </w:t>
      </w:r>
      <w:r w:rsidRPr="004B6CD8">
        <w:rPr>
          <w:noProof/>
        </w:rPr>
        <w:t>ENEST</w:t>
      </w:r>
      <w:r w:rsidR="008924B2">
        <w:rPr>
          <w:noProof/>
        </w:rPr>
        <w:t>)</w:t>
      </w:r>
      <w:bookmarkEnd w:id="46"/>
    </w:p>
    <w:p w14:paraId="57774E3F" w14:textId="77777777" w:rsidR="000323FF" w:rsidRPr="004B6CD8" w:rsidRDefault="000323FF" w:rsidP="000323F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objective of the limited review was to assess whether DG ENEST has designed and implements an adequate system that ensures that the management declarations effectively contribute to the assurance on the effective implementation of EU funds under indirect management with entrusted entities, as well as on the accuracy of financial reporting and its compliance with the Financial Regulation. </w:t>
      </w:r>
    </w:p>
    <w:p w14:paraId="1701BBA1" w14:textId="77777777" w:rsidR="000323FF" w:rsidRPr="004B6CD8" w:rsidRDefault="000323FF" w:rsidP="000323F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3887C2D1" w14:textId="77777777" w:rsidR="000323FF" w:rsidRPr="004B6CD8" w:rsidRDefault="000323FF" w:rsidP="000323FF">
      <w:pPr>
        <w:jc w:val="both"/>
        <w:rPr>
          <w:rFonts w:cs="Times New Roman"/>
          <w:i/>
          <w:iCs/>
          <w:noProof/>
          <w:color w:val="003399" w:themeColor="text2"/>
          <w:lang w:val="en-GB"/>
        </w:rPr>
      </w:pPr>
      <w:r w:rsidRPr="004B6CD8">
        <w:rPr>
          <w:rFonts w:cs="Times New Roman"/>
          <w:i/>
          <w:iCs/>
          <w:noProof/>
          <w:color w:val="003399" w:themeColor="text2"/>
          <w:lang w:val="en-GB"/>
        </w:rPr>
        <w:t>Has DG ENEST designed an adequate control framework to comply with the Financial Regulation requirements on management declarations?</w:t>
      </w:r>
    </w:p>
    <w:p w14:paraId="4B498FA9" w14:textId="2A97B585" w:rsidR="000323FF" w:rsidRPr="004B6CD8" w:rsidRDefault="000323FF" w:rsidP="000323F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DG ENEST has put in place a control framework for the management declarations which encompasses guidance and checklists for the staff and templates that the entrusted entities have to use for their management declarations. However, the IAS found issues in these elements that need to be further developed to enable more effective controls of management declarations. </w:t>
      </w:r>
    </w:p>
    <w:p w14:paraId="40216205" w14:textId="77777777" w:rsidR="000323FF" w:rsidRPr="004B6CD8" w:rsidRDefault="000323FF" w:rsidP="000323FF">
      <w:pPr>
        <w:jc w:val="both"/>
        <w:rPr>
          <w:rFonts w:cs="Times New Roman"/>
          <w:i/>
          <w:iCs/>
          <w:noProof/>
          <w:color w:val="003399" w:themeColor="text2"/>
          <w:lang w:val="en-GB"/>
        </w:rPr>
      </w:pPr>
      <w:r w:rsidRPr="004B6CD8">
        <w:rPr>
          <w:rFonts w:cs="Times New Roman"/>
          <w:i/>
          <w:iCs/>
          <w:noProof/>
          <w:color w:val="003399" w:themeColor="text2"/>
          <w:lang w:val="en-GB"/>
        </w:rPr>
        <w:t>Does DG ENEST implement its control system effectively, efficiently, and in line with the rules in place?</w:t>
      </w:r>
    </w:p>
    <w:p w14:paraId="5BBA2C9C" w14:textId="77777777" w:rsidR="000323FF" w:rsidRPr="004B6CD8" w:rsidRDefault="000323FF" w:rsidP="000323FF">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found that a management declaration was available for all 41 sampled payments and clearing files, for which it was required. However, the controls designed were not always implemented effectively, efficiently, and in line with the rules in place. Specifically, the IAS identified two major issues related to handling management declarations, notably: (a) an erroneous interpretation and application of the rules related to global management declarations (both as regards the submission deadline, and their validity period for payments and clearings); (b) inadequate application of the guidance in place resulting in accepting as valid for processing payments and clearings management declarations that were either non-compliant with the agreements and/or templates or not accompanied by an audit opinion.</w:t>
      </w:r>
    </w:p>
    <w:p w14:paraId="104E51DD" w14:textId="77777777" w:rsidR="000323FF" w:rsidRPr="004B6CD8" w:rsidRDefault="000323FF" w:rsidP="000323FF">
      <w:pPr>
        <w:jc w:val="both"/>
        <w:rPr>
          <w:rFonts w:cs="Times New Roman"/>
          <w:i/>
          <w:iCs/>
          <w:noProof/>
          <w:color w:val="003399" w:themeColor="text2"/>
          <w:lang w:val="en-GB"/>
        </w:rPr>
      </w:pPr>
      <w:r w:rsidRPr="004B6CD8">
        <w:rPr>
          <w:rFonts w:cs="Times New Roman"/>
          <w:i/>
          <w:iCs/>
          <w:noProof/>
          <w:color w:val="003399" w:themeColor="text2"/>
          <w:lang w:val="en-GB"/>
        </w:rPr>
        <w:t>Does DG ENEST’s reporting on management declarations in the Annual Activity Report comply with DG BUDG’s instructions?</w:t>
      </w:r>
    </w:p>
    <w:p w14:paraId="27A7420F" w14:textId="77777777" w:rsidR="000323FF" w:rsidRPr="004B6CD8" w:rsidRDefault="000323FF" w:rsidP="000323FF">
      <w:pPr>
        <w:jc w:val="both"/>
        <w:rPr>
          <w:rFonts w:eastAsia="Calibri" w:cs="Times New Roman"/>
          <w:noProof/>
          <w:kern w:val="0"/>
          <w:lang w:val="en-GB"/>
          <w14:ligatures w14:val="none"/>
        </w:rPr>
      </w:pPr>
      <w:r w:rsidRPr="004B6CD8">
        <w:rPr>
          <w:rFonts w:eastAsia="Calibri" w:cs="Times New Roman"/>
          <w:noProof/>
          <w:kern w:val="0"/>
          <w:lang w:val="en-GB"/>
          <w14:ligatures w14:val="none"/>
        </w:rPr>
        <w:t>DG ENEST reporting on management declarations in the Annual Activity Report is not fully in line with DG BUDG’s instructions as the DG does not collect the data allowing it to fill in properly the tables on management declarations.</w:t>
      </w:r>
    </w:p>
    <w:p w14:paraId="569E0AD2" w14:textId="77777777" w:rsidR="000323FF" w:rsidRPr="004B6CD8" w:rsidRDefault="000323FF" w:rsidP="000323F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0811FE2C" w14:textId="04894155" w:rsidR="000323FF" w:rsidRPr="004B6CD8" w:rsidRDefault="000323FF" w:rsidP="000323FF">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the system designed and implemented by DG ENEST to ensure that the management declarations contribute to the assurance on the effective implementation of EU funds under indirect management with entrusted entities, the accuracy of financial reporting and its compliance with the Financial Regulation is adequate except for two very important issues related to some aspects of the design of the control framework for management declarations, and the effectiveness and efficiency of management declarations as a control measure.</w:t>
      </w:r>
    </w:p>
    <w:p w14:paraId="21AEF6B2" w14:textId="1C877C58"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40B2D9E7" w14:textId="14B9F119" w:rsidR="00FC2817" w:rsidRPr="00874637" w:rsidRDefault="001771BF" w:rsidP="66263CC9">
      <w:pPr>
        <w:jc w:val="both"/>
        <w:rPr>
          <w:rFonts w:eastAsia="Calibri" w:cs="Times New Roman"/>
          <w:noProof/>
          <w:kern w:val="0"/>
          <w:lang w:val="en-IE"/>
          <w14:ligatures w14:val="none"/>
        </w:rPr>
      </w:pPr>
      <w:r w:rsidRPr="00874637">
        <w:rPr>
          <w:rFonts w:eastAsia="Calibri" w:cs="Times New Roman"/>
          <w:noProof/>
          <w:kern w:val="0"/>
          <w:lang w:val="en-IE"/>
          <w14:ligatures w14:val="none"/>
        </w:rPr>
        <w:t xml:space="preserve">Recommendation No </w:t>
      </w:r>
      <w:r w:rsidR="00B55C52" w:rsidRPr="00874637">
        <w:rPr>
          <w:rFonts w:eastAsia="Calibri" w:cs="Times New Roman"/>
          <w:noProof/>
          <w:kern w:val="0"/>
          <w:lang w:val="en-IE"/>
          <w14:ligatures w14:val="none"/>
        </w:rPr>
        <w:t>1, o</w:t>
      </w:r>
      <w:r w:rsidR="00FC2817" w:rsidRPr="00874637">
        <w:rPr>
          <w:rFonts w:eastAsia="Calibri" w:cs="Times New Roman"/>
          <w:noProof/>
          <w:kern w:val="0"/>
          <w:lang w:val="en-IE"/>
          <w14:ligatures w14:val="none"/>
        </w:rPr>
        <w:t xml:space="preserve">n </w:t>
      </w:r>
      <w:r w:rsidR="00D007C2" w:rsidRPr="00874637">
        <w:rPr>
          <w:rFonts w:eastAsia="Calibri" w:cs="Times New Roman"/>
          <w:noProof/>
          <w:kern w:val="0"/>
          <w:lang w:val="en-IE"/>
          <w14:ligatures w14:val="none"/>
        </w:rPr>
        <w:t xml:space="preserve">the </w:t>
      </w:r>
      <w:r w:rsidR="008E02FE" w:rsidRPr="00874637">
        <w:rPr>
          <w:rStyle w:val="BoldAccent1"/>
          <w:noProof/>
          <w:color w:val="003399" w:themeColor="text2"/>
          <w:lang w:val="en-IE"/>
        </w:rPr>
        <w:t>design of the control framework for management declarations, DG ENEST</w:t>
      </w:r>
      <w:r w:rsidR="00FC2817" w:rsidRPr="00874637">
        <w:rPr>
          <w:rStyle w:val="BoldAccent1"/>
          <w:noProof/>
          <w:color w:val="003399" w:themeColor="text2"/>
          <w:lang w:val="en-IE"/>
        </w:rPr>
        <w:t xml:space="preserve"> </w:t>
      </w:r>
      <w:r w:rsidR="00FC2817" w:rsidRPr="00874637">
        <w:rPr>
          <w:rFonts w:eastAsia="Calibri" w:cs="Times New Roman"/>
          <w:noProof/>
          <w:kern w:val="0"/>
          <w:lang w:val="en-IE"/>
          <w14:ligatures w14:val="none"/>
        </w:rPr>
        <w:t>should:</w:t>
      </w:r>
    </w:p>
    <w:p w14:paraId="6FF84329" w14:textId="765281B6" w:rsidR="00FC2817" w:rsidRPr="004B6CD8" w:rsidRDefault="008E02FE" w:rsidP="00FC2817">
      <w:pPr>
        <w:pStyle w:val="amprLISTtealbullets-L1"/>
        <w:rPr>
          <w:rFonts w:eastAsia="Calibri" w:cs="Times New Roman"/>
          <w:noProof/>
        </w:rPr>
      </w:pPr>
      <w:r w:rsidRPr="004B6CD8">
        <w:rPr>
          <w:rFonts w:eastAsia="Calibri" w:cs="Times New Roman"/>
          <w:noProof/>
        </w:rPr>
        <w:t>improve the control framework for management declarations</w:t>
      </w:r>
      <w:r w:rsidR="006A5808" w:rsidRPr="004B6CD8">
        <w:rPr>
          <w:rFonts w:eastAsia="Calibri" w:cs="Times New Roman"/>
          <w:noProof/>
        </w:rPr>
        <w:t>.</w:t>
      </w:r>
    </w:p>
    <w:p w14:paraId="22357761" w14:textId="3C62F73E" w:rsidR="00FC2817" w:rsidRPr="00874637" w:rsidRDefault="001771BF" w:rsidP="66263CC9">
      <w:pPr>
        <w:jc w:val="both"/>
        <w:rPr>
          <w:rFonts w:eastAsia="Calibri" w:cs="Times New Roman"/>
          <w:noProof/>
          <w:kern w:val="0"/>
          <w:lang w:val="en-IE"/>
          <w14:ligatures w14:val="none"/>
        </w:rPr>
      </w:pPr>
      <w:r w:rsidRPr="00874637">
        <w:rPr>
          <w:rFonts w:eastAsia="Calibri" w:cs="Times New Roman"/>
          <w:noProof/>
          <w:lang w:val="en-IE"/>
        </w:rPr>
        <w:t xml:space="preserve">Recommendation No </w:t>
      </w:r>
      <w:r w:rsidR="00B55C52" w:rsidRPr="00874637">
        <w:rPr>
          <w:rFonts w:eastAsia="Calibri" w:cs="Times New Roman"/>
          <w:noProof/>
          <w:lang w:val="en-IE"/>
        </w:rPr>
        <w:t>2, o</w:t>
      </w:r>
      <w:r w:rsidR="00FC2817" w:rsidRPr="00874637">
        <w:rPr>
          <w:rFonts w:eastAsia="Calibri" w:cs="Times New Roman"/>
          <w:noProof/>
          <w:lang w:val="en-IE"/>
        </w:rPr>
        <w:t xml:space="preserve">n </w:t>
      </w:r>
      <w:r w:rsidR="00D007C2" w:rsidRPr="00874637">
        <w:rPr>
          <w:rFonts w:eastAsia="Calibri" w:cs="Times New Roman"/>
          <w:noProof/>
          <w:lang w:val="en-IE"/>
        </w:rPr>
        <w:t xml:space="preserve">the </w:t>
      </w:r>
      <w:r w:rsidR="00FC2817" w:rsidRPr="00874637">
        <w:rPr>
          <w:rStyle w:val="BoldAccent1"/>
          <w:noProof/>
          <w:color w:val="003399" w:themeColor="text2"/>
          <w:lang w:val="en-IE"/>
        </w:rPr>
        <w:t>a</w:t>
      </w:r>
      <w:r w:rsidR="008E02FE" w:rsidRPr="00874637">
        <w:rPr>
          <w:rStyle w:val="BoldAccent1"/>
          <w:noProof/>
          <w:color w:val="003399" w:themeColor="text2"/>
          <w:lang w:val="en-IE"/>
        </w:rPr>
        <w:t>ssurance provided from global management declarations</w:t>
      </w:r>
      <w:r w:rsidR="00FC2817" w:rsidRPr="00874637">
        <w:rPr>
          <w:rStyle w:val="BoldAccent1"/>
          <w:noProof/>
          <w:color w:val="003399" w:themeColor="text2"/>
          <w:lang w:val="en-IE"/>
        </w:rPr>
        <w:t xml:space="preserve">, DG </w:t>
      </w:r>
      <w:r w:rsidR="008E02FE" w:rsidRPr="00874637">
        <w:rPr>
          <w:rStyle w:val="BoldAccent1"/>
          <w:noProof/>
          <w:color w:val="003399" w:themeColor="text2"/>
          <w:lang w:val="en-IE"/>
        </w:rPr>
        <w:t>ENEST</w:t>
      </w:r>
      <w:r w:rsidR="00FC2817" w:rsidRPr="00874637">
        <w:rPr>
          <w:rFonts w:eastAsia="Calibri" w:cs="Times New Roman"/>
          <w:noProof/>
          <w:color w:val="003399" w:themeColor="text2"/>
          <w:kern w:val="0"/>
          <w:lang w:val="en-IE"/>
          <w14:ligatures w14:val="none"/>
        </w:rPr>
        <w:t xml:space="preserve"> </w:t>
      </w:r>
      <w:r w:rsidR="00FC2817" w:rsidRPr="00874637">
        <w:rPr>
          <w:rFonts w:eastAsia="Calibri" w:cs="Times New Roman"/>
          <w:noProof/>
          <w:kern w:val="0"/>
          <w:lang w:val="en-IE"/>
          <w14:ligatures w14:val="none"/>
        </w:rPr>
        <w:t xml:space="preserve">should: </w:t>
      </w:r>
    </w:p>
    <w:p w14:paraId="1EC46265" w14:textId="56470E0A" w:rsidR="00FC2817" w:rsidRPr="004B6CD8" w:rsidRDefault="008E02FE" w:rsidP="004C53BB">
      <w:pPr>
        <w:pStyle w:val="amprLISTtealbullets-L1"/>
        <w:spacing w:after="240"/>
        <w:ind w:left="782" w:hanging="357"/>
        <w:rPr>
          <w:rFonts w:eastAsia="Calibri" w:cs="Times New Roman"/>
          <w:noProof/>
        </w:rPr>
      </w:pPr>
      <w:r w:rsidRPr="004B6CD8">
        <w:rPr>
          <w:rFonts w:eastAsia="Calibri" w:cs="Times New Roman"/>
          <w:noProof/>
        </w:rPr>
        <w:t>increase the effectiveness of management declarations as a control tool</w:t>
      </w:r>
      <w:r w:rsidR="006A5808" w:rsidRPr="004B6CD8">
        <w:rPr>
          <w:rFonts w:eastAsia="Calibri" w:cs="Times New Roman"/>
          <w:noProof/>
        </w:rPr>
        <w: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FC2817" w:rsidRPr="007F05B2" w14:paraId="0D6290FA" w14:textId="77777777">
        <w:tc>
          <w:tcPr>
            <w:tcW w:w="9057" w:type="dxa"/>
          </w:tcPr>
          <w:p w14:paraId="21122890" w14:textId="77777777" w:rsidR="008E02FE" w:rsidRPr="004B6CD8" w:rsidRDefault="008E02FE" w:rsidP="008E02FE">
            <w:pPr>
              <w:pStyle w:val="boldblue"/>
            </w:pPr>
            <w:r w:rsidRPr="004B6CD8">
              <w:t>Additional information provided by DG ENEST on the implemented measures</w:t>
            </w:r>
          </w:p>
          <w:p w14:paraId="58FD6D9A" w14:textId="5CED761A" w:rsidR="00FC2817" w:rsidRPr="004B6CD8" w:rsidRDefault="0066378E" w:rsidP="008E02FE">
            <w:pPr>
              <w:jc w:val="both"/>
              <w:rPr>
                <w:noProof/>
              </w:rPr>
            </w:pPr>
            <w:r w:rsidRPr="0010289E">
              <w:rPr>
                <w:noProof/>
              </w:rPr>
              <w:t>DG ENEST accepted all recommendations and sent the action plan to the IAS on 23 January 2026. The IAS accepted the action plan on 9 February 2026. Both very important recommendations are being implemented and will be finalised by 1 September 2026.</w:t>
            </w:r>
          </w:p>
        </w:tc>
      </w:tr>
    </w:tbl>
    <w:p w14:paraId="09394EEC" w14:textId="04894155" w:rsidR="008E02FE" w:rsidRPr="004B6CD8" w:rsidRDefault="008E02FE" w:rsidP="00D74BE0">
      <w:pPr>
        <w:pStyle w:val="amprH3Title2-Numbered-11"/>
        <w:numPr>
          <w:ilvl w:val="1"/>
          <w:numId w:val="51"/>
        </w:numPr>
        <w:rPr>
          <w:noProof/>
        </w:rPr>
      </w:pPr>
      <w:bookmarkStart w:id="47" w:name="_Toc231235437"/>
      <w:r w:rsidRPr="004B6CD8">
        <w:rPr>
          <w:noProof/>
        </w:rPr>
        <w:t>Financial management – high value procurement and contract management (</w:t>
      </w:r>
      <w:r w:rsidR="00D007C2">
        <w:rPr>
          <w:noProof/>
        </w:rPr>
        <w:t xml:space="preserve">DG </w:t>
      </w:r>
      <w:r w:rsidRPr="004B6CD8">
        <w:rPr>
          <w:noProof/>
        </w:rPr>
        <w:t>TAXUD)</w:t>
      </w:r>
      <w:bookmarkEnd w:id="47"/>
    </w:p>
    <w:p w14:paraId="50F0ABF2"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whether the internal control system set up by DG TAXUD for high value procurement and contract management is adequately designed, and efficiently and effectively implemented.</w:t>
      </w:r>
    </w:p>
    <w:p w14:paraId="3C014AEA" w14:textId="77777777" w:rsidR="008E02FE" w:rsidRPr="004B6CD8" w:rsidRDefault="008E02FE" w:rsidP="008E02FE">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18A3D158" w14:textId="77777777" w:rsidR="008E02FE" w:rsidRPr="004B6CD8" w:rsidRDefault="008E02FE" w:rsidP="008E02FE">
      <w:pPr>
        <w:jc w:val="both"/>
        <w:rPr>
          <w:rFonts w:cs="Times New Roman"/>
          <w:i/>
          <w:iCs/>
          <w:noProof/>
          <w:color w:val="003399" w:themeColor="text2"/>
          <w:lang w:val="en-GB"/>
        </w:rPr>
      </w:pPr>
      <w:r w:rsidRPr="004B6CD8">
        <w:rPr>
          <w:rFonts w:cs="Times New Roman"/>
          <w:i/>
          <w:iCs/>
          <w:noProof/>
          <w:color w:val="003399" w:themeColor="text2"/>
          <w:lang w:val="en-GB"/>
        </w:rPr>
        <w:t xml:space="preserve">Has the internal control environment of public procurement in DG TAXUD been adequately designed and effectively and efficiently implemented? </w:t>
      </w:r>
    </w:p>
    <w:p w14:paraId="5FA2EABE"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DG TAXUD has defined and implemented internal roles and responsibilities for all procurement related tasks. DG TAXUD’s staff involved in the procurement process are made aware of their specific roles and the applicable rules. </w:t>
      </w:r>
    </w:p>
    <w:p w14:paraId="081469B2"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DG TAXUD has properly reported procurement risks, and associated mitigating actions, in its risk register. The risks related to specific framework contracts are monitored and reported to the Public Procurement Committee. However, there is no consolidated assessment of risk(s) identified in different steps or instances of the procurement process, nor a structured approach to follow up on or monitor the formulated mitigating actions relating to different procurement activities.</w:t>
      </w:r>
    </w:p>
    <w:p w14:paraId="12279002"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In addition, DG TAXUD has not consolidated the control activities specific to procurement into a comprehensive, formalised control strategy covering the different steps of the procurement process and the related risks, as identified in various risk assessment exercises.</w:t>
      </w:r>
    </w:p>
    <w:p w14:paraId="12CC5500"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Although DG TAXUD has designed actions to mitigate the ethics-related risk associated to public procurement, it has not assessed the effectiveness of these measures in strengthening a fraud-proof procurement and contract management system.</w:t>
      </w:r>
    </w:p>
    <w:p w14:paraId="43E5A449" w14:textId="77777777" w:rsidR="008E02FE" w:rsidRPr="004B6CD8" w:rsidRDefault="008E02FE" w:rsidP="008E02FE">
      <w:pPr>
        <w:jc w:val="both"/>
        <w:rPr>
          <w:rFonts w:cs="Times New Roman"/>
          <w:i/>
          <w:iCs/>
          <w:noProof/>
          <w:color w:val="003399" w:themeColor="text2"/>
          <w:lang w:val="en-GB"/>
        </w:rPr>
      </w:pPr>
      <w:r w:rsidRPr="004B6CD8">
        <w:rPr>
          <w:rFonts w:cs="Times New Roman"/>
          <w:i/>
          <w:iCs/>
          <w:noProof/>
          <w:color w:val="003399" w:themeColor="text2"/>
          <w:lang w:val="en-GB"/>
        </w:rPr>
        <w:t>Is the procurement planning adequately designed and effectively and efficiently implemented?</w:t>
      </w:r>
    </w:p>
    <w:p w14:paraId="5BDC62B4" w14:textId="14403758" w:rsidR="008E02FE" w:rsidRPr="004B6CD8" w:rsidRDefault="008E02FE" w:rsidP="007A65D3">
      <w:pPr>
        <w:pStyle w:val="ListMixed"/>
        <w:numPr>
          <w:ilvl w:val="0"/>
          <w:numId w:val="0"/>
        </w:numPr>
        <w:rPr>
          <w:rFonts w:eastAsia="Calibri"/>
          <w:noProof/>
        </w:rPr>
      </w:pPr>
      <w:r w:rsidRPr="004B6CD8">
        <w:rPr>
          <w:rFonts w:eastAsia="Calibri"/>
          <w:noProof/>
        </w:rPr>
        <w:t>DG TAXUD has designed and implemented a procurement planning process. However, the process shows very important issues which may affect the effective and efficient achievement of the D</w:t>
      </w:r>
      <w:r w:rsidR="00305574" w:rsidRPr="004B6CD8">
        <w:rPr>
          <w:rFonts w:eastAsia="Calibri"/>
          <w:noProof/>
        </w:rPr>
        <w:t>irectorate-</w:t>
      </w:r>
      <w:r w:rsidRPr="004B6CD8">
        <w:rPr>
          <w:rFonts w:eastAsia="Calibri"/>
          <w:noProof/>
        </w:rPr>
        <w:t>G</w:t>
      </w:r>
      <w:r w:rsidR="00305574" w:rsidRPr="004B6CD8">
        <w:rPr>
          <w:rFonts w:eastAsia="Calibri"/>
          <w:noProof/>
        </w:rPr>
        <w:t>eneral</w:t>
      </w:r>
      <w:r w:rsidRPr="004B6CD8">
        <w:rPr>
          <w:rFonts w:eastAsia="Calibri"/>
          <w:noProof/>
        </w:rPr>
        <w:t>’s objectives in the audited area. These weaknesses concern the design and implementation of specific steps in the planning process, in particular:</w:t>
      </w:r>
    </w:p>
    <w:p w14:paraId="30C37998" w14:textId="448EB0E7" w:rsidR="008E02FE" w:rsidRPr="004B6CD8" w:rsidRDefault="008E02FE" w:rsidP="00272AC5">
      <w:pPr>
        <w:pStyle w:val="ListMixedLevel2"/>
        <w:rPr>
          <w:rFonts w:eastAsia="Calibri"/>
          <w:noProof/>
        </w:rPr>
      </w:pPr>
      <w:r w:rsidRPr="004B6CD8">
        <w:rPr>
          <w:rFonts w:eastAsia="Calibri"/>
          <w:noProof/>
        </w:rPr>
        <w:t>the estimation of the total contract value, where DG TAXUD relied solely on historical prices without conducting adequate market research,</w:t>
      </w:r>
    </w:p>
    <w:p w14:paraId="561C8CC4" w14:textId="574958AB" w:rsidR="008E02FE" w:rsidRPr="004B6CD8" w:rsidRDefault="008E02FE" w:rsidP="00272AC5">
      <w:pPr>
        <w:pStyle w:val="ListMixedLevel2"/>
        <w:rPr>
          <w:rFonts w:eastAsia="Calibri"/>
          <w:noProof/>
        </w:rPr>
      </w:pPr>
      <w:r w:rsidRPr="004B6CD8">
        <w:rPr>
          <w:rFonts w:eastAsia="Calibri"/>
          <w:noProof/>
        </w:rPr>
        <w:t>the duration of the framework contracts, whereby the automatic renewal extended the contracts beyond the standard four-year limit, without sufficient documented justification,</w:t>
      </w:r>
    </w:p>
    <w:p w14:paraId="20511F29" w14:textId="33B6BFB0" w:rsidR="008E02FE" w:rsidRPr="004B6CD8" w:rsidRDefault="008E02FE" w:rsidP="00272AC5">
      <w:pPr>
        <w:pStyle w:val="ListMixedLevel2"/>
        <w:rPr>
          <w:rFonts w:eastAsia="Calibri"/>
          <w:noProof/>
        </w:rPr>
      </w:pPr>
      <w:r w:rsidRPr="004B6CD8">
        <w:rPr>
          <w:rFonts w:eastAsia="Calibri"/>
          <w:noProof/>
        </w:rPr>
        <w:t>the preparation phase of procurement procedures. There is no evidence of a root cause analysis of delays stemming from the past procurement procedures enabling the DG to assess the time required for the planning steps. Moreover, the DG did not take specific measures to enhance internal cooperation and communication between Directorates to ensure a smooth completion of the procurement steps.</w:t>
      </w:r>
    </w:p>
    <w:p w14:paraId="63252735" w14:textId="77777777" w:rsidR="008E02FE" w:rsidRPr="004B6CD8" w:rsidRDefault="008E02FE" w:rsidP="008E02FE">
      <w:pPr>
        <w:jc w:val="both"/>
        <w:rPr>
          <w:rFonts w:cs="Times New Roman"/>
          <w:i/>
          <w:iCs/>
          <w:noProof/>
          <w:color w:val="003399" w:themeColor="text2"/>
          <w:lang w:val="en-GB"/>
        </w:rPr>
      </w:pPr>
      <w:r w:rsidRPr="004B6CD8">
        <w:rPr>
          <w:rFonts w:cs="Times New Roman"/>
          <w:i/>
          <w:iCs/>
          <w:noProof/>
          <w:color w:val="003399" w:themeColor="text2"/>
          <w:lang w:val="en-GB"/>
        </w:rPr>
        <w:t>Is the tendering and award process implemented according to the internal controls and applicable rules?</w:t>
      </w:r>
    </w:p>
    <w:p w14:paraId="235E08C1"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preparation and publication of procurement documents, and the communication with tenderers have been implemented according to the applicable procurement rules. </w:t>
      </w:r>
    </w:p>
    <w:p w14:paraId="69828830"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However, the IAS identified very important issues as regards the selection and award criteria defined in the tender dossier and the evaluation of tenders. The award criteria defined by DG TAXUD in the tender documents were not sufficiently clear, detailed, or directly related to the technical specifications of the tender. In addition, evaluation reports highlighted weaknesses identified during the evaluation process, but they did not specify how the DG intended to address them in the final selection process, nor mention of any specific corrective measures that should be undertaken during the contract execution stage.</w:t>
      </w:r>
    </w:p>
    <w:p w14:paraId="1A47CC8F" w14:textId="77777777" w:rsidR="008E02FE" w:rsidRPr="004B6CD8" w:rsidRDefault="008E02FE" w:rsidP="008E02FE">
      <w:pPr>
        <w:jc w:val="both"/>
        <w:rPr>
          <w:rFonts w:cs="Times New Roman"/>
          <w:i/>
          <w:iCs/>
          <w:noProof/>
          <w:color w:val="003399" w:themeColor="text2"/>
          <w:lang w:val="en-GB"/>
        </w:rPr>
      </w:pPr>
      <w:r w:rsidRPr="004B6CD8">
        <w:rPr>
          <w:rFonts w:cs="Times New Roman"/>
          <w:i/>
          <w:iCs/>
          <w:noProof/>
          <w:color w:val="003399" w:themeColor="text2"/>
          <w:lang w:val="en-GB"/>
        </w:rPr>
        <w:t>Is the contract management effectively and efficiently implemented?</w:t>
      </w:r>
    </w:p>
    <w:p w14:paraId="4F7F5B2C"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DG TAXUD has established processes for contract monitoring.</w:t>
      </w:r>
    </w:p>
    <w:p w14:paraId="63D97CED"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The financial and operational aspects of the IT contract’s implementation were reported periodically and timely to ensure the achievement of the entity’s objectives. Internal guidance was made available for the operational units covering the operational aspects contract management of IT contracts.</w:t>
      </w:r>
    </w:p>
    <w:p w14:paraId="299A770D"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However, the IAS has identified very important issues in the documentation and/or implementation of DG TAXUD’s </w:t>
      </w:r>
      <w:r w:rsidRPr="00412EFF">
        <w:rPr>
          <w:rFonts w:eastAsia="Calibri" w:cs="Times New Roman"/>
          <w:i/>
          <w:iCs/>
          <w:noProof/>
          <w:kern w:val="0"/>
          <w:lang w:val="en-GB"/>
          <w14:ligatures w14:val="none"/>
        </w:rPr>
        <w:t>ex ante</w:t>
      </w:r>
      <w:r w:rsidRPr="004B6CD8">
        <w:rPr>
          <w:rFonts w:eastAsia="Calibri" w:cs="Times New Roman"/>
          <w:noProof/>
          <w:kern w:val="0"/>
          <w:lang w:val="en-GB"/>
          <w14:ligatures w14:val="none"/>
        </w:rPr>
        <w:t xml:space="preserve"> key controls on commitments and payments. These concern mainly: (a) the design and implementation of the payment checklist/workflow; (b) the documentation of </w:t>
      </w:r>
      <w:r w:rsidRPr="00412EFF">
        <w:rPr>
          <w:rFonts w:eastAsia="Calibri" w:cs="Times New Roman"/>
          <w:i/>
          <w:iCs/>
          <w:noProof/>
          <w:kern w:val="0"/>
          <w:lang w:val="en-GB"/>
          <w14:ligatures w14:val="none"/>
        </w:rPr>
        <w:t>ex ante</w:t>
      </w:r>
      <w:r w:rsidRPr="004B6CD8">
        <w:rPr>
          <w:rFonts w:eastAsia="Calibri" w:cs="Times New Roman"/>
          <w:noProof/>
          <w:kern w:val="0"/>
          <w:lang w:val="en-GB"/>
          <w14:ligatures w14:val="none"/>
        </w:rPr>
        <w:t xml:space="preserve"> operational key controls for an informed-based payment validation by the Authorising Officer by sub-delegation; and (c) gaps in the design and implementation of early detection and exclusion system checks. These issues may affect the effective and efficient implementation of contract management by the responsible staff members. </w:t>
      </w:r>
    </w:p>
    <w:p w14:paraId="25D5F73B"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DG TAXUD has a contract monitoring control process in place allowing to report issues related to the procurement deliverables. Nevertheless, DG TAXUD did not make use of performance and retention money guarantees provisions for the audited framework contracts nor the related specific contracts and did not justify why it did not apply these safeguards. </w:t>
      </w:r>
    </w:p>
    <w:p w14:paraId="1C7A4D2E"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The financial circuit for procurement is centralised and the financial team in the Directorate E plays a key role, by providing an active support to the operational units throughout the procurement life cycle (from the identification of needs up to the final payment of the relevant contract). However, the procedural framework for financial circuit authorisations, budgetary and legal commitments and payments were not formally approved or up to date.</w:t>
      </w:r>
    </w:p>
    <w:p w14:paraId="1AEFA0C6"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DG TAXUD has ensured that contract amendments were concluded in accordance with established procedures. However, DG TAXUD has systematically made specific contract extensions without documenting a justification on the exceptional circumstances when accepting them. In addition, there is no evidence of any assessment of past specific contracts to determine more reasonable durations for on-demand specific contracts, that would provide sufficient margin to reduce the need for amendments.</w:t>
      </w:r>
    </w:p>
    <w:p w14:paraId="75F79535"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DG TAXUD retains all financial and operational documents related to the implementation of specific contracts. However, commitment and payment files were incomplete or inconsistent making it difficult to retrieve complete documentation.</w:t>
      </w:r>
    </w:p>
    <w:p w14:paraId="362404D2" w14:textId="77777777" w:rsidR="008E02FE" w:rsidRPr="004B6CD8" w:rsidRDefault="008E02FE" w:rsidP="008E02FE">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1ED9BBCA" w14:textId="77777777" w:rsidR="008E02FE" w:rsidRPr="004B6CD8" w:rsidRDefault="008E02FE" w:rsidP="008E02FE">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IAS concluded that the internal control system set up by DG TAXUD for high value procurement and contract management needs to be significantly enhanced to strengthen its efficiency and effectiveness, notably with regard to: (a) the procurement control strategy; (b) the award criteria and evaluation process; (c) the contract value estimation and contract duration; (d) the early detection and exclusion system checks; and (e) </w:t>
      </w:r>
      <w:r w:rsidRPr="008A53FC">
        <w:rPr>
          <w:rFonts w:eastAsia="Calibri" w:cs="Times New Roman"/>
          <w:i/>
          <w:iCs/>
          <w:noProof/>
          <w:kern w:val="0"/>
          <w:lang w:val="en-GB"/>
          <w14:ligatures w14:val="none"/>
        </w:rPr>
        <w:t>ex ante</w:t>
      </w:r>
      <w:r w:rsidRPr="004B6CD8">
        <w:rPr>
          <w:rFonts w:eastAsia="Calibri" w:cs="Times New Roman"/>
          <w:noProof/>
          <w:kern w:val="0"/>
          <w:lang w:val="en-GB"/>
          <w14:ligatures w14:val="none"/>
        </w:rPr>
        <w:t xml:space="preserve"> controls over payments.</w:t>
      </w:r>
    </w:p>
    <w:p w14:paraId="503AC43F" w14:textId="7174A151"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1AC1B270" w14:textId="225D9551" w:rsidR="00FC2817" w:rsidRPr="00874637" w:rsidRDefault="001771BF" w:rsidP="66263CC9">
      <w:pPr>
        <w:jc w:val="both"/>
        <w:rPr>
          <w:rFonts w:eastAsia="Calibri" w:cs="Times New Roman"/>
          <w:noProof/>
          <w:kern w:val="0"/>
          <w:lang w:val="en-IE"/>
          <w14:ligatures w14:val="none"/>
        </w:rPr>
      </w:pPr>
      <w:r w:rsidRPr="00874637">
        <w:rPr>
          <w:rFonts w:eastAsia="Calibri" w:cs="Times New Roman"/>
          <w:noProof/>
          <w:kern w:val="0"/>
          <w:lang w:val="en-IE"/>
          <w14:ligatures w14:val="none"/>
        </w:rPr>
        <w:t xml:space="preserve">Recommendation No </w:t>
      </w:r>
      <w:r w:rsidR="00B55C52" w:rsidRPr="00874637">
        <w:rPr>
          <w:rFonts w:eastAsia="Calibri" w:cs="Times New Roman"/>
          <w:noProof/>
          <w:kern w:val="0"/>
          <w:lang w:val="en-IE"/>
          <w14:ligatures w14:val="none"/>
        </w:rPr>
        <w:t>1, o</w:t>
      </w:r>
      <w:r w:rsidR="00FC2817" w:rsidRPr="00874637">
        <w:rPr>
          <w:rFonts w:eastAsia="Calibri" w:cs="Times New Roman"/>
          <w:noProof/>
          <w:kern w:val="0"/>
          <w:lang w:val="en-IE"/>
          <w14:ligatures w14:val="none"/>
        </w:rPr>
        <w:t xml:space="preserve">n </w:t>
      </w:r>
      <w:r w:rsidR="00FC2817" w:rsidRPr="00874637">
        <w:rPr>
          <w:rStyle w:val="BoldAccent1"/>
          <w:noProof/>
          <w:color w:val="003399" w:themeColor="text2"/>
          <w:lang w:val="en-IE"/>
        </w:rPr>
        <w:t xml:space="preserve">control strategy, DG </w:t>
      </w:r>
      <w:r w:rsidR="008E02FE" w:rsidRPr="00874637">
        <w:rPr>
          <w:rStyle w:val="BoldAccent1"/>
          <w:noProof/>
          <w:color w:val="003399" w:themeColor="text2"/>
          <w:lang w:val="en-IE"/>
        </w:rPr>
        <w:t>TAXUD</w:t>
      </w:r>
      <w:r w:rsidR="00FC2817" w:rsidRPr="00874637">
        <w:rPr>
          <w:rFonts w:eastAsia="Calibri" w:cs="Times New Roman"/>
          <w:noProof/>
          <w:color w:val="003399" w:themeColor="text2"/>
          <w:kern w:val="0"/>
          <w:lang w:val="en-IE"/>
          <w14:ligatures w14:val="none"/>
        </w:rPr>
        <w:t xml:space="preserve"> </w:t>
      </w:r>
      <w:r w:rsidR="00FC2817" w:rsidRPr="00874637">
        <w:rPr>
          <w:rFonts w:eastAsia="Calibri" w:cs="Times New Roman"/>
          <w:noProof/>
          <w:kern w:val="0"/>
          <w:lang w:val="en-IE"/>
          <w14:ligatures w14:val="none"/>
        </w:rPr>
        <w:t>should:</w:t>
      </w:r>
    </w:p>
    <w:p w14:paraId="2B1FA69D" w14:textId="7EF27743" w:rsidR="008E02FE" w:rsidRPr="004B6CD8" w:rsidRDefault="008E02FE" w:rsidP="008E02FE">
      <w:pPr>
        <w:pStyle w:val="amprLISTtealbullets-L1"/>
        <w:rPr>
          <w:noProof/>
        </w:rPr>
      </w:pPr>
      <w:r w:rsidRPr="004B6CD8">
        <w:rPr>
          <w:noProof/>
        </w:rPr>
        <w:t>improve the DG’s risk management and develop a control strategy</w:t>
      </w:r>
      <w:r w:rsidR="006A5808" w:rsidRPr="004B6CD8">
        <w:rPr>
          <w:noProof/>
        </w:rPr>
        <w:t>.</w:t>
      </w:r>
    </w:p>
    <w:p w14:paraId="0A4D4CAC" w14:textId="7B3605AF" w:rsidR="008E02FE" w:rsidRPr="004B6CD8" w:rsidRDefault="001771BF" w:rsidP="008E02FE">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55C52">
        <w:rPr>
          <w:rFonts w:eastAsia="Calibri" w:cs="Times New Roman"/>
          <w:noProof/>
          <w:kern w:val="0"/>
          <w:lang w:val="en-GB"/>
          <w14:ligatures w14:val="none"/>
        </w:rPr>
        <w:t>3, o</w:t>
      </w:r>
      <w:r w:rsidR="008E02FE" w:rsidRPr="004B6CD8">
        <w:rPr>
          <w:rFonts w:eastAsia="Calibri" w:cs="Times New Roman"/>
          <w:noProof/>
          <w:kern w:val="0"/>
          <w:lang w:val="en-GB"/>
          <w14:ligatures w14:val="none"/>
        </w:rPr>
        <w:t xml:space="preserve">n </w:t>
      </w:r>
      <w:r w:rsidR="008E02FE" w:rsidRPr="004B6CD8">
        <w:rPr>
          <w:rFonts w:eastAsia="Calibri" w:cs="Times New Roman"/>
          <w:b/>
          <w:bCs/>
          <w:noProof/>
          <w:color w:val="003399" w:themeColor="text2"/>
          <w:kern w:val="0"/>
          <w:lang w:val="en-GB"/>
          <w14:ligatures w14:val="none"/>
        </w:rPr>
        <w:t>award criteria and evaluation process</w:t>
      </w:r>
      <w:r w:rsidR="008E02FE" w:rsidRPr="004B6CD8">
        <w:rPr>
          <w:rFonts w:eastAsia="Calibri" w:cs="Times New Roman"/>
          <w:noProof/>
          <w:kern w:val="0"/>
          <w:lang w:val="en-GB"/>
          <w14:ligatures w14:val="none"/>
        </w:rPr>
        <w:t xml:space="preserve">, </w:t>
      </w:r>
      <w:r w:rsidR="008E02FE" w:rsidRPr="004B6CD8">
        <w:rPr>
          <w:rFonts w:eastAsia="Calibri" w:cs="Times New Roman"/>
          <w:b/>
          <w:bCs/>
          <w:noProof/>
          <w:color w:val="003399" w:themeColor="text2"/>
          <w:kern w:val="0"/>
          <w:lang w:val="en-GB"/>
          <w14:ligatures w14:val="none"/>
        </w:rPr>
        <w:t>DG TAXUD</w:t>
      </w:r>
      <w:r w:rsidR="008E02FE" w:rsidRPr="004B6CD8">
        <w:rPr>
          <w:rFonts w:eastAsia="Calibri" w:cs="Times New Roman"/>
          <w:noProof/>
          <w:color w:val="003399" w:themeColor="text2"/>
          <w:kern w:val="0"/>
          <w:lang w:val="en-GB"/>
          <w14:ligatures w14:val="none"/>
        </w:rPr>
        <w:t xml:space="preserve"> </w:t>
      </w:r>
      <w:r w:rsidR="008E02FE" w:rsidRPr="004B6CD8">
        <w:rPr>
          <w:rFonts w:eastAsia="Calibri" w:cs="Times New Roman"/>
          <w:noProof/>
          <w:kern w:val="0"/>
          <w:lang w:val="en-GB"/>
          <w14:ligatures w14:val="none"/>
        </w:rPr>
        <w:t>should:</w:t>
      </w:r>
    </w:p>
    <w:p w14:paraId="528326D1" w14:textId="78104378" w:rsidR="008E02FE" w:rsidRPr="004B6CD8" w:rsidRDefault="008E02FE" w:rsidP="008E02FE">
      <w:pPr>
        <w:pStyle w:val="amprLISTtealbullets-L1"/>
        <w:rPr>
          <w:noProof/>
        </w:rPr>
      </w:pPr>
      <w:r w:rsidRPr="004B6CD8">
        <w:rPr>
          <w:noProof/>
        </w:rPr>
        <w:t xml:space="preserve">enhance </w:t>
      </w:r>
      <w:r w:rsidR="005F03B9">
        <w:rPr>
          <w:noProof/>
        </w:rPr>
        <w:t xml:space="preserve">the </w:t>
      </w:r>
      <w:r w:rsidRPr="004B6CD8">
        <w:rPr>
          <w:noProof/>
        </w:rPr>
        <w:t>award criteria and evaluation process</w:t>
      </w:r>
      <w:r w:rsidR="006A5808" w:rsidRPr="004B6CD8">
        <w:rPr>
          <w:noProof/>
        </w:rPr>
        <w:t>.</w:t>
      </w:r>
    </w:p>
    <w:p w14:paraId="64AFDB98" w14:textId="628512CB" w:rsidR="008E02FE" w:rsidRPr="004B6CD8" w:rsidRDefault="001771BF" w:rsidP="008E02FE">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55C52">
        <w:rPr>
          <w:rFonts w:eastAsia="Calibri" w:cs="Times New Roman"/>
          <w:noProof/>
          <w:kern w:val="0"/>
          <w:lang w:val="en-GB"/>
          <w14:ligatures w14:val="none"/>
        </w:rPr>
        <w:t>4, o</w:t>
      </w:r>
      <w:r w:rsidR="008E02FE" w:rsidRPr="004B6CD8">
        <w:rPr>
          <w:rFonts w:eastAsia="Calibri" w:cs="Times New Roman"/>
          <w:noProof/>
          <w:kern w:val="0"/>
          <w:lang w:val="en-GB"/>
          <w14:ligatures w14:val="none"/>
        </w:rPr>
        <w:t xml:space="preserve">n </w:t>
      </w:r>
      <w:r w:rsidR="008E02FE" w:rsidRPr="004B6CD8">
        <w:rPr>
          <w:rFonts w:eastAsia="Calibri" w:cs="Times New Roman"/>
          <w:b/>
          <w:bCs/>
          <w:noProof/>
          <w:color w:val="003399" w:themeColor="text2"/>
          <w:kern w:val="0"/>
          <w:lang w:val="en-GB"/>
          <w14:ligatures w14:val="none"/>
        </w:rPr>
        <w:t>contract value estimation and contract duration</w:t>
      </w:r>
      <w:r w:rsidR="008E02FE" w:rsidRPr="004B6CD8">
        <w:rPr>
          <w:rFonts w:eastAsia="Calibri" w:cs="Times New Roman"/>
          <w:noProof/>
          <w:kern w:val="0"/>
          <w:lang w:val="en-GB"/>
          <w14:ligatures w14:val="none"/>
        </w:rPr>
        <w:t xml:space="preserve">, </w:t>
      </w:r>
      <w:r w:rsidR="008E02FE" w:rsidRPr="004B6CD8">
        <w:rPr>
          <w:rFonts w:eastAsia="Calibri" w:cs="Times New Roman"/>
          <w:b/>
          <w:bCs/>
          <w:noProof/>
          <w:color w:val="003399" w:themeColor="text2"/>
          <w:kern w:val="0"/>
          <w:lang w:val="en-GB"/>
          <w14:ligatures w14:val="none"/>
        </w:rPr>
        <w:t>DG TAXUD</w:t>
      </w:r>
      <w:r w:rsidR="008E02FE" w:rsidRPr="004B6CD8">
        <w:rPr>
          <w:rFonts w:eastAsia="Calibri" w:cs="Times New Roman"/>
          <w:noProof/>
          <w:color w:val="003399" w:themeColor="text2"/>
          <w:kern w:val="0"/>
          <w:lang w:val="en-GB"/>
          <w14:ligatures w14:val="none"/>
        </w:rPr>
        <w:t xml:space="preserve"> </w:t>
      </w:r>
      <w:r w:rsidR="008E02FE" w:rsidRPr="004B6CD8">
        <w:rPr>
          <w:rFonts w:eastAsia="Calibri" w:cs="Times New Roman"/>
          <w:noProof/>
          <w:kern w:val="0"/>
          <w:lang w:val="en-GB"/>
          <w14:ligatures w14:val="none"/>
        </w:rPr>
        <w:t>should:</w:t>
      </w:r>
    </w:p>
    <w:p w14:paraId="49883BBF" w14:textId="535C6CA8" w:rsidR="008E02FE" w:rsidRPr="004B6CD8" w:rsidRDefault="008E02FE" w:rsidP="008E02FE">
      <w:pPr>
        <w:pStyle w:val="amprLISTtealbullets-L1"/>
        <w:rPr>
          <w:noProof/>
        </w:rPr>
      </w:pPr>
      <w:r w:rsidRPr="004B6CD8">
        <w:rPr>
          <w:noProof/>
        </w:rPr>
        <w:t>carry out market analysis when estimating contract value and justify automatic renewal of framework contracts</w:t>
      </w:r>
      <w:r w:rsidR="006A5808" w:rsidRPr="004B6CD8">
        <w:rPr>
          <w:noProof/>
        </w:rPr>
        <w:t>.</w:t>
      </w:r>
    </w:p>
    <w:p w14:paraId="0C3BD682" w14:textId="262ED847" w:rsidR="008E02FE" w:rsidRPr="004B6CD8" w:rsidRDefault="001771BF" w:rsidP="008E02FE">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55C52">
        <w:rPr>
          <w:rFonts w:eastAsia="Calibri" w:cs="Times New Roman"/>
          <w:noProof/>
          <w:kern w:val="0"/>
          <w:lang w:val="en-GB"/>
          <w14:ligatures w14:val="none"/>
        </w:rPr>
        <w:t>6, o</w:t>
      </w:r>
      <w:r w:rsidR="008E02FE" w:rsidRPr="004B6CD8">
        <w:rPr>
          <w:rFonts w:eastAsia="Calibri" w:cs="Times New Roman"/>
          <w:noProof/>
          <w:kern w:val="0"/>
          <w:lang w:val="en-GB"/>
          <w14:ligatures w14:val="none"/>
        </w:rPr>
        <w:t xml:space="preserve">n </w:t>
      </w:r>
      <w:r w:rsidR="008E02FE" w:rsidRPr="004B6CD8">
        <w:rPr>
          <w:rFonts w:eastAsia="Calibri" w:cs="Times New Roman"/>
          <w:b/>
          <w:bCs/>
          <w:noProof/>
          <w:color w:val="003399" w:themeColor="text2"/>
          <w:kern w:val="0"/>
          <w:lang w:val="en-GB"/>
          <w14:ligatures w14:val="none"/>
        </w:rPr>
        <w:t>early detection and exclusion system</w:t>
      </w:r>
      <w:r w:rsidR="008E02FE" w:rsidRPr="004B6CD8">
        <w:rPr>
          <w:rFonts w:eastAsia="Calibri" w:cs="Times New Roman"/>
          <w:noProof/>
          <w:kern w:val="0"/>
          <w:lang w:val="en-GB"/>
          <w14:ligatures w14:val="none"/>
        </w:rPr>
        <w:t xml:space="preserve">, </w:t>
      </w:r>
      <w:r w:rsidR="008E02FE" w:rsidRPr="004B6CD8">
        <w:rPr>
          <w:rFonts w:eastAsia="Calibri" w:cs="Times New Roman"/>
          <w:b/>
          <w:bCs/>
          <w:noProof/>
          <w:color w:val="003399" w:themeColor="text2"/>
          <w:kern w:val="0"/>
          <w:lang w:val="en-GB"/>
          <w14:ligatures w14:val="none"/>
        </w:rPr>
        <w:t>DG TAXUD</w:t>
      </w:r>
      <w:r w:rsidR="008E02FE" w:rsidRPr="004B6CD8">
        <w:rPr>
          <w:rFonts w:eastAsia="Calibri" w:cs="Times New Roman"/>
          <w:noProof/>
          <w:color w:val="003399" w:themeColor="text2"/>
          <w:kern w:val="0"/>
          <w:lang w:val="en-GB"/>
          <w14:ligatures w14:val="none"/>
        </w:rPr>
        <w:t xml:space="preserve"> </w:t>
      </w:r>
      <w:r w:rsidR="008E02FE" w:rsidRPr="004B6CD8">
        <w:rPr>
          <w:rFonts w:eastAsia="Calibri" w:cs="Times New Roman"/>
          <w:noProof/>
          <w:kern w:val="0"/>
          <w:lang w:val="en-GB"/>
          <w14:ligatures w14:val="none"/>
        </w:rPr>
        <w:t>should:</w:t>
      </w:r>
    </w:p>
    <w:p w14:paraId="6EA10161" w14:textId="1BC145CC" w:rsidR="008E02FE" w:rsidRPr="004B6CD8" w:rsidRDefault="008E02FE" w:rsidP="008E02FE">
      <w:pPr>
        <w:pStyle w:val="amprLISTtealbullets-L1"/>
        <w:rPr>
          <w:noProof/>
        </w:rPr>
      </w:pPr>
      <w:r w:rsidRPr="004B6CD8">
        <w:rPr>
          <w:noProof/>
        </w:rPr>
        <w:t>consult the early detection and exclusion system database throughout the procurement and contact management lifecycle</w:t>
      </w:r>
      <w:r w:rsidR="006A5808" w:rsidRPr="004B6CD8">
        <w:rPr>
          <w:noProof/>
        </w:rPr>
        <w:t>.</w:t>
      </w:r>
    </w:p>
    <w:p w14:paraId="42742A5A" w14:textId="6E2BF029" w:rsidR="008E02FE" w:rsidRPr="00A54EC3" w:rsidRDefault="001771BF" w:rsidP="008E02FE">
      <w:pPr>
        <w:jc w:val="both"/>
        <w:rPr>
          <w:rFonts w:eastAsia="Calibri" w:cs="Times New Roman"/>
          <w:noProof/>
          <w:kern w:val="0"/>
          <w:lang w:val="en-IE"/>
          <w14:ligatures w14:val="none"/>
        </w:rPr>
      </w:pPr>
      <w:r w:rsidRPr="00A54EC3">
        <w:rPr>
          <w:rFonts w:eastAsia="Calibri" w:cs="Times New Roman"/>
          <w:noProof/>
          <w:kern w:val="0"/>
          <w:lang w:val="en-IE"/>
          <w14:ligatures w14:val="none"/>
        </w:rPr>
        <w:t xml:space="preserve">Recommendation No </w:t>
      </w:r>
      <w:r w:rsidR="00B55C52" w:rsidRPr="00A54EC3">
        <w:rPr>
          <w:rFonts w:eastAsia="Calibri" w:cs="Times New Roman"/>
          <w:noProof/>
          <w:kern w:val="0"/>
          <w:lang w:val="en-IE"/>
          <w14:ligatures w14:val="none"/>
        </w:rPr>
        <w:t>8, o</w:t>
      </w:r>
      <w:r w:rsidR="008E02FE" w:rsidRPr="00A54EC3">
        <w:rPr>
          <w:rFonts w:eastAsia="Calibri" w:cs="Times New Roman"/>
          <w:noProof/>
          <w:kern w:val="0"/>
          <w:lang w:val="en-IE"/>
          <w14:ligatures w14:val="none"/>
        </w:rPr>
        <w:t xml:space="preserve">n </w:t>
      </w:r>
      <w:r w:rsidR="008E02FE" w:rsidRPr="00A54EC3">
        <w:rPr>
          <w:rFonts w:eastAsia="Calibri" w:cs="Times New Roman"/>
          <w:b/>
          <w:bCs/>
          <w:i/>
          <w:iCs/>
          <w:noProof/>
          <w:color w:val="003399" w:themeColor="text2"/>
          <w:kern w:val="0"/>
          <w:lang w:val="en-IE"/>
          <w14:ligatures w14:val="none"/>
        </w:rPr>
        <w:t>ex ante</w:t>
      </w:r>
      <w:r w:rsidR="008E02FE" w:rsidRPr="00A54EC3">
        <w:rPr>
          <w:rFonts w:eastAsia="Calibri" w:cs="Times New Roman"/>
          <w:b/>
          <w:bCs/>
          <w:noProof/>
          <w:color w:val="003399" w:themeColor="text2"/>
          <w:kern w:val="0"/>
          <w:lang w:val="en-IE"/>
          <w14:ligatures w14:val="none"/>
        </w:rPr>
        <w:t xml:space="preserve"> controls on payments</w:t>
      </w:r>
      <w:r w:rsidR="008E02FE" w:rsidRPr="00A54EC3">
        <w:rPr>
          <w:rFonts w:eastAsia="Calibri" w:cs="Times New Roman"/>
          <w:noProof/>
          <w:kern w:val="0"/>
          <w:lang w:val="en-IE"/>
          <w14:ligatures w14:val="none"/>
        </w:rPr>
        <w:t xml:space="preserve">, </w:t>
      </w:r>
      <w:r w:rsidR="008E02FE" w:rsidRPr="00A54EC3">
        <w:rPr>
          <w:rFonts w:eastAsia="Calibri" w:cs="Times New Roman"/>
          <w:b/>
          <w:bCs/>
          <w:noProof/>
          <w:color w:val="003399" w:themeColor="text2"/>
          <w:kern w:val="0"/>
          <w:lang w:val="en-IE"/>
          <w14:ligatures w14:val="none"/>
        </w:rPr>
        <w:t>DG TAXUD</w:t>
      </w:r>
      <w:r w:rsidR="008E02FE" w:rsidRPr="00A54EC3">
        <w:rPr>
          <w:rFonts w:eastAsia="Calibri" w:cs="Times New Roman"/>
          <w:noProof/>
          <w:color w:val="003399" w:themeColor="text2"/>
          <w:kern w:val="0"/>
          <w:lang w:val="en-IE"/>
          <w14:ligatures w14:val="none"/>
        </w:rPr>
        <w:t xml:space="preserve"> </w:t>
      </w:r>
      <w:r w:rsidR="008E02FE" w:rsidRPr="00A54EC3">
        <w:rPr>
          <w:rFonts w:eastAsia="Calibri" w:cs="Times New Roman"/>
          <w:noProof/>
          <w:kern w:val="0"/>
          <w:lang w:val="en-IE"/>
          <w14:ligatures w14:val="none"/>
        </w:rPr>
        <w:t>should:</w:t>
      </w:r>
    </w:p>
    <w:p w14:paraId="7D898FB0" w14:textId="40E46F26" w:rsidR="008E02FE" w:rsidRPr="00A54EC3" w:rsidRDefault="008E02FE" w:rsidP="008E02FE">
      <w:pPr>
        <w:pStyle w:val="amprLISTtealbullets-L1"/>
        <w:rPr>
          <w:noProof/>
          <w:lang w:val="en-IE"/>
        </w:rPr>
      </w:pPr>
      <w:r w:rsidRPr="00A54EC3">
        <w:rPr>
          <w:noProof/>
          <w:lang w:val="en-IE"/>
        </w:rPr>
        <w:t xml:space="preserve">enhance </w:t>
      </w:r>
      <w:r w:rsidRPr="00A54EC3">
        <w:rPr>
          <w:i/>
          <w:iCs/>
          <w:noProof/>
          <w:lang w:val="en-IE"/>
        </w:rPr>
        <w:t>ex ante</w:t>
      </w:r>
      <w:r w:rsidRPr="00A54EC3">
        <w:rPr>
          <w:noProof/>
          <w:lang w:val="en-IE"/>
        </w:rPr>
        <w:t xml:space="preserve"> controls on payments</w:t>
      </w:r>
      <w:r w:rsidR="006A5808" w:rsidRPr="00A54EC3">
        <w:rPr>
          <w:noProof/>
          <w:lang w:val="en-IE"/>
        </w:rPr>
        <w:t>.</w:t>
      </w:r>
    </w:p>
    <w:p w14:paraId="7DB03DF4" w14:textId="6D627B29" w:rsidR="00FC2817" w:rsidRPr="008A53FC" w:rsidRDefault="00FC2817" w:rsidP="008E02FE">
      <w:pPr>
        <w:pStyle w:val="amprLISTtealbullets-L1"/>
        <w:numPr>
          <w:ilvl w:val="0"/>
          <w:numId w:val="0"/>
        </w:numPr>
        <w:rPr>
          <w:rFonts w:eastAsia="Calibri"/>
          <w:noProof/>
          <w:lang w:val="fr-BE"/>
        </w:rPr>
      </w:pP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FC2817" w:rsidRPr="007F05B2" w14:paraId="0E2BB9D3" w14:textId="77777777">
        <w:tc>
          <w:tcPr>
            <w:tcW w:w="9057" w:type="dxa"/>
          </w:tcPr>
          <w:p w14:paraId="4A9039AD" w14:textId="77777777" w:rsidR="008E02FE" w:rsidRPr="004B6CD8" w:rsidRDefault="008E02FE" w:rsidP="008E02FE">
            <w:pPr>
              <w:pStyle w:val="boldblue"/>
            </w:pPr>
            <w:r w:rsidRPr="004B6CD8">
              <w:t>Additional information provided by DG TAXUD on the implemented measures</w:t>
            </w:r>
          </w:p>
          <w:p w14:paraId="2409270C" w14:textId="0581132D" w:rsidR="00FC2817" w:rsidRPr="004B6CD8" w:rsidRDefault="000E7262" w:rsidP="008E02FE">
            <w:pPr>
              <w:jc w:val="both"/>
              <w:rPr>
                <w:noProof/>
              </w:rPr>
            </w:pPr>
            <w:r w:rsidRPr="70B77850">
              <w:rPr>
                <w:noProof/>
                <w:lang w:val="en-US"/>
              </w:rPr>
              <w:t xml:space="preserve">DG TAXUD submitted an action plan addressing all audit </w:t>
            </w:r>
            <w:r w:rsidR="6230A7EC" w:rsidRPr="62989BBB">
              <w:rPr>
                <w:noProof/>
                <w:lang w:val="en-US"/>
              </w:rPr>
              <w:t xml:space="preserve">recommendations </w:t>
            </w:r>
            <w:r w:rsidRPr="70B77850">
              <w:rPr>
                <w:noProof/>
                <w:lang w:val="en-US"/>
              </w:rPr>
              <w:t>in January 2026</w:t>
            </w:r>
            <w:r w:rsidR="3EB0B7FB" w:rsidRPr="70B77850">
              <w:rPr>
                <w:noProof/>
                <w:lang w:val="en-US"/>
              </w:rPr>
              <w:t>, which was</w:t>
            </w:r>
            <w:r w:rsidRPr="70B77850">
              <w:rPr>
                <w:noProof/>
                <w:lang w:val="en-US"/>
              </w:rPr>
              <w:t xml:space="preserve"> assessed as satisfactory by the IAS. </w:t>
            </w:r>
            <w:r w:rsidRPr="6C22756B">
              <w:rPr>
                <w:noProof/>
                <w:lang w:val="en-US"/>
              </w:rPr>
              <w:t xml:space="preserve">All </w:t>
            </w:r>
            <w:r w:rsidR="4A52FD28" w:rsidRPr="6C22756B">
              <w:rPr>
                <w:noProof/>
                <w:lang w:val="en-US"/>
              </w:rPr>
              <w:t>actions</w:t>
            </w:r>
            <w:r w:rsidRPr="70B77850">
              <w:rPr>
                <w:noProof/>
                <w:lang w:val="en-US"/>
              </w:rPr>
              <w:t xml:space="preserve"> are currently </w:t>
            </w:r>
            <w:r w:rsidRPr="000C5973">
              <w:rPr>
                <w:noProof/>
                <w:lang w:val="en-US"/>
              </w:rPr>
              <w:t>ongoing and progressing according to schedule. Full implementation is expected within the agreed timeframe, with some measures due by the end of June 2026 and the remainder</w:t>
            </w:r>
            <w:r w:rsidRPr="70B77850">
              <w:rPr>
                <w:noProof/>
                <w:lang w:val="en-US"/>
              </w:rPr>
              <w:t xml:space="preserve"> by the end of December 2026.</w:t>
            </w:r>
          </w:p>
        </w:tc>
      </w:tr>
    </w:tbl>
    <w:p w14:paraId="250C657B" w14:textId="4DB5DFD1" w:rsidR="00FC2817" w:rsidRPr="008A53FC" w:rsidRDefault="008E02FE" w:rsidP="00D74BE0">
      <w:pPr>
        <w:pStyle w:val="amprH3Title2-Numbered-11"/>
        <w:numPr>
          <w:ilvl w:val="1"/>
          <w:numId w:val="51"/>
        </w:numPr>
        <w:rPr>
          <w:noProof/>
          <w:lang w:val="fr-FR"/>
        </w:rPr>
      </w:pPr>
      <w:bookmarkStart w:id="48" w:name="_Toc231235438"/>
      <w:r w:rsidRPr="008A53FC">
        <w:rPr>
          <w:noProof/>
          <w:lang w:val="fr-FR"/>
        </w:rPr>
        <w:t>Financial management – Grants (</w:t>
      </w:r>
      <w:r w:rsidR="00A6459F" w:rsidRPr="008A53FC">
        <w:rPr>
          <w:noProof/>
          <w:lang w:val="fr-FR"/>
        </w:rPr>
        <w:t xml:space="preserve">DG </w:t>
      </w:r>
      <w:r w:rsidRPr="008A53FC">
        <w:rPr>
          <w:noProof/>
          <w:lang w:val="fr-FR"/>
        </w:rPr>
        <w:t>TAXUD)</w:t>
      </w:r>
      <w:bookmarkEnd w:id="48"/>
    </w:p>
    <w:p w14:paraId="4232EEBB"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whether the internal control systems established by DG TAXUD for managing grants under the Customs Control Equipment Instrument programme are adequately designed and effectively implemented.</w:t>
      </w:r>
    </w:p>
    <w:p w14:paraId="36FD5A1F" w14:textId="77777777" w:rsidR="0041531F" w:rsidRPr="004B6CD8" w:rsidRDefault="0041531F" w:rsidP="0041531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3077171A" w14:textId="77777777" w:rsidR="0041531F" w:rsidRPr="004B6CD8" w:rsidRDefault="0041531F" w:rsidP="0041531F">
      <w:pPr>
        <w:jc w:val="both"/>
        <w:rPr>
          <w:rFonts w:cs="Times New Roman"/>
          <w:i/>
          <w:iCs/>
          <w:noProof/>
          <w:color w:val="003399" w:themeColor="text2"/>
          <w:lang w:val="en-GB"/>
        </w:rPr>
      </w:pPr>
      <w:r w:rsidRPr="004B6CD8">
        <w:rPr>
          <w:rFonts w:cs="Times New Roman"/>
          <w:i/>
          <w:iCs/>
          <w:noProof/>
          <w:color w:val="003399" w:themeColor="text2"/>
          <w:lang w:val="en-GB"/>
        </w:rPr>
        <w:t>Has DG TAXUD put in place an adequate control framework for the call preparation and for the management of its grants?</w:t>
      </w:r>
    </w:p>
    <w:p w14:paraId="63BE10FE"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DG TAXUD has defined clear organizational structures, roles and responsibilities for managing Customs Control Equipment Instrument grants and has in place: (a) internal procedures / guidelines /tools; (b) a set of guidance to beneficiaries; and (c) relevant trainings modules, on the spot trainings and information sessions for the staff involved. However, DG TAXUD has not yet developed a control strategy targeted to the specific Customs Control Equipment Instrument risks. Furthermore, the existing guidance (corporate and/or DG TAXUD specific) requires enhancement and should be centralised for easier access. </w:t>
      </w:r>
    </w:p>
    <w:p w14:paraId="0D9EC43B" w14:textId="77777777" w:rsidR="0041531F" w:rsidRPr="004B6CD8" w:rsidRDefault="0041531F" w:rsidP="0041531F">
      <w:pPr>
        <w:jc w:val="both"/>
        <w:rPr>
          <w:rFonts w:cs="Times New Roman"/>
          <w:i/>
          <w:iCs/>
          <w:noProof/>
          <w:color w:val="003399" w:themeColor="text2"/>
          <w:lang w:val="en-GB"/>
        </w:rPr>
      </w:pPr>
      <w:r w:rsidRPr="004B6CD8">
        <w:rPr>
          <w:rFonts w:cs="Times New Roman"/>
          <w:i/>
          <w:iCs/>
          <w:noProof/>
          <w:color w:val="003399" w:themeColor="text2"/>
          <w:lang w:val="en-GB"/>
        </w:rPr>
        <w:t xml:space="preserve">Does DG TAXUD effectively manage the preparation, selection, and award of the Customs Control Equipment Instrument calls? </w:t>
      </w:r>
    </w:p>
    <w:p w14:paraId="1EDACAC0"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DG TAXUD has: (a) prepared its calls, with improvement noted for the second call; (b) evaluated proposals timely, in line with applicable deadlines; (c) implemented a lessons-learned approach as regards the call preparation and the evaluation of proposals; and (d) prepared grant agreements in due time and in line with award decision.</w:t>
      </w:r>
    </w:p>
    <w:p w14:paraId="4AA0EDE2"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However, the IAS did not find evidence, neither in the eGrants system nor in the grant preparation report, on whether the shortcomings mentioned at evaluation summary report stage have been duly considered during the grant agreement preparation phase.</w:t>
      </w:r>
    </w:p>
    <w:p w14:paraId="1AD2D18B" w14:textId="77777777" w:rsidR="0041531F" w:rsidRPr="004B6CD8" w:rsidRDefault="0041531F" w:rsidP="0041531F">
      <w:pPr>
        <w:jc w:val="both"/>
        <w:rPr>
          <w:rFonts w:cs="Times New Roman"/>
          <w:i/>
          <w:iCs/>
          <w:noProof/>
          <w:color w:val="003399" w:themeColor="text2"/>
          <w:lang w:val="en-GB"/>
        </w:rPr>
      </w:pPr>
      <w:r w:rsidRPr="004B6CD8">
        <w:rPr>
          <w:rFonts w:cs="Times New Roman"/>
          <w:i/>
          <w:iCs/>
          <w:noProof/>
          <w:color w:val="003399" w:themeColor="text2"/>
          <w:lang w:val="en-GB"/>
        </w:rPr>
        <w:t xml:space="preserve">Does DG TAXUD efficiently and effectively monitor the implementation of the Customs Control Equipment Instrument grant agreements? </w:t>
      </w:r>
    </w:p>
    <w:p w14:paraId="24BD7E31"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Overall, DG TAXUD has in place tools and procedures for monitoring Customs Control Equipment Instrument grants, and effectively and efficiently implements </w:t>
      </w:r>
      <w:r w:rsidRPr="00E3411F">
        <w:rPr>
          <w:rFonts w:eastAsia="Calibri" w:cs="Times New Roman"/>
          <w:i/>
          <w:iCs/>
          <w:noProof/>
          <w:kern w:val="0"/>
          <w:lang w:val="en-GB"/>
          <w14:ligatures w14:val="none"/>
        </w:rPr>
        <w:t>ex ante</w:t>
      </w:r>
      <w:r w:rsidRPr="004B6CD8">
        <w:rPr>
          <w:rFonts w:eastAsia="Calibri" w:cs="Times New Roman"/>
          <w:noProof/>
          <w:kern w:val="0"/>
          <w:lang w:val="en-GB"/>
          <w14:ligatures w14:val="none"/>
        </w:rPr>
        <w:t xml:space="preserve"> checks on payments and on amendments. However, DG TAXUD does not provide enough evidence in eGrants of the continuous monitoring of the projects financed under the Customs Control Equipment Instrument and of the payment processing (in particular the checks preceding the certified correct).</w:t>
      </w:r>
    </w:p>
    <w:p w14:paraId="149ED63A" w14:textId="77777777" w:rsidR="0041531F" w:rsidRPr="004B6CD8" w:rsidRDefault="0041531F" w:rsidP="0041531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2C8D19EE"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overall, DG TAXUD has adequately designed and effectively implemented the internal control system for managing its grants activities under the Customs Control Equipment Instrument programme, except for two very important issues related to the Customs Control Equipment Instrument s control strategy, and the evidence in eGrants of the continuous project monitoring and of the payment processing.</w:t>
      </w:r>
    </w:p>
    <w:p w14:paraId="79879098" w14:textId="43FB8892"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18011A85" w14:textId="23B327F0" w:rsidR="00FC2817" w:rsidRPr="004B6CD8" w:rsidRDefault="001771BF" w:rsidP="001F0DF8">
      <w:pPr>
        <w:spacing w:after="160"/>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1, o</w:t>
      </w:r>
      <w:r w:rsidR="00FC2817" w:rsidRPr="004B6CD8">
        <w:rPr>
          <w:rFonts w:eastAsia="Calibri" w:cs="Times New Roman"/>
          <w:noProof/>
          <w:kern w:val="0"/>
          <w:lang w:val="en-GB"/>
          <w14:ligatures w14:val="none"/>
        </w:rPr>
        <w:t xml:space="preserve">n </w:t>
      </w:r>
      <w:r w:rsidR="00FC2817" w:rsidRPr="004B6CD8">
        <w:rPr>
          <w:rFonts w:eastAsia="Calibri" w:cs="Times New Roman"/>
          <w:b/>
          <w:bCs/>
          <w:noProof/>
          <w:color w:val="003399" w:themeColor="text2"/>
          <w:kern w:val="0"/>
          <w:lang w:val="en-GB"/>
          <w14:ligatures w14:val="none"/>
        </w:rPr>
        <w:t>control strategy</w:t>
      </w:r>
      <w:r w:rsidR="00FC2817" w:rsidRPr="004B6CD8">
        <w:rPr>
          <w:rFonts w:eastAsia="Calibri" w:cs="Times New Roman"/>
          <w:noProof/>
          <w:kern w:val="0"/>
          <w:lang w:val="en-GB"/>
          <w14:ligatures w14:val="none"/>
        </w:rPr>
        <w:t xml:space="preserve">, </w:t>
      </w:r>
      <w:r w:rsidR="00FC2817" w:rsidRPr="004B6CD8">
        <w:rPr>
          <w:rFonts w:eastAsia="Calibri" w:cs="Times New Roman"/>
          <w:b/>
          <w:bCs/>
          <w:noProof/>
          <w:color w:val="003399" w:themeColor="text2"/>
          <w:kern w:val="0"/>
          <w:lang w:val="en-GB"/>
          <w14:ligatures w14:val="none"/>
        </w:rPr>
        <w:t xml:space="preserve">DG </w:t>
      </w:r>
      <w:r w:rsidR="0041531F" w:rsidRPr="004B6CD8">
        <w:rPr>
          <w:rFonts w:eastAsia="Calibri" w:cs="Times New Roman"/>
          <w:b/>
          <w:bCs/>
          <w:noProof/>
          <w:color w:val="003399" w:themeColor="text2"/>
          <w:kern w:val="0"/>
          <w:lang w:val="en-GB"/>
          <w14:ligatures w14:val="none"/>
        </w:rPr>
        <w:t>TAXUD</w:t>
      </w:r>
      <w:r w:rsidR="00FC2817" w:rsidRPr="004B6CD8">
        <w:rPr>
          <w:rFonts w:eastAsia="Calibri" w:cs="Times New Roman"/>
          <w:noProof/>
          <w:color w:val="003399" w:themeColor="text2"/>
          <w:kern w:val="0"/>
          <w:lang w:val="en-GB"/>
          <w14:ligatures w14:val="none"/>
        </w:rPr>
        <w:t xml:space="preserve"> </w:t>
      </w:r>
      <w:r w:rsidR="00FC2817" w:rsidRPr="004B6CD8">
        <w:rPr>
          <w:rFonts w:eastAsia="Calibri" w:cs="Times New Roman"/>
          <w:noProof/>
          <w:kern w:val="0"/>
          <w:lang w:val="en-GB"/>
          <w14:ligatures w14:val="none"/>
        </w:rPr>
        <w:t>should:</w:t>
      </w:r>
    </w:p>
    <w:p w14:paraId="7C167E29" w14:textId="1688D2F5" w:rsidR="00FC2817" w:rsidRPr="004B6CD8" w:rsidRDefault="0041531F" w:rsidP="00FC2817">
      <w:pPr>
        <w:pStyle w:val="amprLISTtealbullets-L1"/>
        <w:rPr>
          <w:rFonts w:eastAsia="Calibri" w:cs="Times New Roman"/>
          <w:noProof/>
        </w:rPr>
      </w:pPr>
      <w:r w:rsidRPr="004B6CD8">
        <w:rPr>
          <w:rFonts w:eastAsia="Calibri" w:cs="Times New Roman"/>
          <w:noProof/>
        </w:rPr>
        <w:t>develop a control strategy for the Customs Control Equipment Instrument and establish the methodology for the calculation of the Customs Control Equipment Instrument error rate</w:t>
      </w:r>
      <w:r w:rsidR="006A5808" w:rsidRPr="004B6CD8">
        <w:rPr>
          <w:rFonts w:eastAsia="Calibri" w:cs="Times New Roman"/>
          <w:noProof/>
        </w:rPr>
        <w:t>.</w:t>
      </w:r>
    </w:p>
    <w:p w14:paraId="74E3DC32" w14:textId="2B0FEAB8" w:rsidR="0041531F" w:rsidRPr="004B6CD8" w:rsidRDefault="001771BF" w:rsidP="001F0DF8">
      <w:pPr>
        <w:spacing w:before="160"/>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4, o</w:t>
      </w:r>
      <w:r w:rsidR="0041531F" w:rsidRPr="004B6CD8">
        <w:rPr>
          <w:rFonts w:eastAsia="Calibri" w:cs="Times New Roman"/>
          <w:noProof/>
          <w:kern w:val="0"/>
          <w:lang w:val="en-GB"/>
          <w14:ligatures w14:val="none"/>
        </w:rPr>
        <w:t xml:space="preserve">n </w:t>
      </w:r>
      <w:r w:rsidR="0041531F" w:rsidRPr="004B6CD8">
        <w:rPr>
          <w:rFonts w:eastAsia="Calibri" w:cs="Times New Roman"/>
          <w:b/>
          <w:bCs/>
          <w:noProof/>
          <w:color w:val="003399" w:themeColor="text2"/>
          <w:kern w:val="0"/>
          <w:lang w:val="en-GB"/>
          <w14:ligatures w14:val="none"/>
        </w:rPr>
        <w:t>evidence-based grant agreement monitoring</w:t>
      </w:r>
      <w:r w:rsidR="0041531F" w:rsidRPr="004B6CD8">
        <w:rPr>
          <w:rFonts w:eastAsia="Calibri" w:cs="Times New Roman"/>
          <w:noProof/>
          <w:kern w:val="0"/>
          <w:lang w:val="en-GB"/>
          <w14:ligatures w14:val="none"/>
        </w:rPr>
        <w:t xml:space="preserve">, </w:t>
      </w:r>
      <w:r w:rsidR="0041531F" w:rsidRPr="004B6CD8">
        <w:rPr>
          <w:rFonts w:eastAsia="Calibri" w:cs="Times New Roman"/>
          <w:b/>
          <w:bCs/>
          <w:noProof/>
          <w:color w:val="003399" w:themeColor="text2"/>
          <w:kern w:val="0"/>
          <w:lang w:val="en-GB"/>
          <w14:ligatures w14:val="none"/>
        </w:rPr>
        <w:t>DG TAXUD</w:t>
      </w:r>
      <w:r w:rsidR="0041531F" w:rsidRPr="004B6CD8">
        <w:rPr>
          <w:rFonts w:eastAsia="Calibri" w:cs="Times New Roman"/>
          <w:noProof/>
          <w:color w:val="003399" w:themeColor="text2"/>
          <w:kern w:val="0"/>
          <w:lang w:val="en-GB"/>
          <w14:ligatures w14:val="none"/>
        </w:rPr>
        <w:t xml:space="preserve"> </w:t>
      </w:r>
      <w:r w:rsidR="0041531F" w:rsidRPr="004B6CD8">
        <w:rPr>
          <w:rFonts w:eastAsia="Calibri" w:cs="Times New Roman"/>
          <w:noProof/>
          <w:kern w:val="0"/>
          <w:lang w:val="en-GB"/>
          <w14:ligatures w14:val="none"/>
        </w:rPr>
        <w:t>should:</w:t>
      </w:r>
    </w:p>
    <w:p w14:paraId="64836EDC" w14:textId="1A11C5CA" w:rsidR="0041531F" w:rsidRPr="004B6CD8" w:rsidRDefault="0041531F" w:rsidP="005350E1">
      <w:pPr>
        <w:pStyle w:val="amprLISTtealbullets-L1"/>
        <w:spacing w:after="240"/>
        <w:ind w:left="782" w:hanging="357"/>
        <w:rPr>
          <w:rFonts w:eastAsia="Calibri" w:cs="Times New Roman"/>
          <w:noProof/>
        </w:rPr>
      </w:pPr>
      <w:r w:rsidRPr="004B6CD8">
        <w:rPr>
          <w:rFonts w:eastAsia="Calibri" w:cs="Times New Roman"/>
          <w:noProof/>
        </w:rPr>
        <w:t>clarify procedures for the certified correct and expected audit trail to document the checks performed for grant agreement monitoring</w:t>
      </w:r>
      <w:r w:rsidR="006A5808" w:rsidRPr="004B6CD8">
        <w:rPr>
          <w:rFonts w:eastAsia="Calibri" w:cs="Times New Roman"/>
          <w:noProof/>
        </w:rPr>
        <w: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FC2817" w:rsidRPr="007F05B2" w14:paraId="5ED800A0" w14:textId="77777777">
        <w:tc>
          <w:tcPr>
            <w:tcW w:w="9057" w:type="dxa"/>
          </w:tcPr>
          <w:p w14:paraId="43C7A767" w14:textId="77777777" w:rsidR="0041531F" w:rsidRPr="00B16800" w:rsidRDefault="0041531F" w:rsidP="0041531F">
            <w:pPr>
              <w:pStyle w:val="boldblue"/>
            </w:pPr>
            <w:r w:rsidRPr="00B16800">
              <w:t>Additional information provided by DG TAXUD on the implemented measures</w:t>
            </w:r>
          </w:p>
          <w:p w14:paraId="2C0F37AF" w14:textId="4A2E83C3" w:rsidR="00FC2817" w:rsidRPr="004B6CD8" w:rsidRDefault="000E7262" w:rsidP="00E10AC4">
            <w:pPr>
              <w:jc w:val="both"/>
              <w:rPr>
                <w:noProof/>
              </w:rPr>
            </w:pPr>
            <w:r w:rsidRPr="00B16800">
              <w:rPr>
                <w:noProof/>
                <w:lang w:val="en-US"/>
              </w:rPr>
              <w:t xml:space="preserve">DG TAXUD submitted an action plan addressing all audit </w:t>
            </w:r>
            <w:r w:rsidR="00A56A97" w:rsidRPr="00B16800">
              <w:rPr>
                <w:noProof/>
                <w:lang w:val="en-US"/>
              </w:rPr>
              <w:t>recommendations</w:t>
            </w:r>
            <w:r w:rsidRPr="00B16800">
              <w:rPr>
                <w:noProof/>
                <w:lang w:val="en-US"/>
              </w:rPr>
              <w:t xml:space="preserve"> in </w:t>
            </w:r>
            <w:r w:rsidR="00A56A97" w:rsidRPr="00B16800">
              <w:rPr>
                <w:noProof/>
                <w:lang w:val="en-US"/>
              </w:rPr>
              <w:t>January 2026</w:t>
            </w:r>
            <w:r w:rsidRPr="00B16800">
              <w:rPr>
                <w:noProof/>
                <w:lang w:val="en-US"/>
              </w:rPr>
              <w:t xml:space="preserve">, which was assessed as satisfactory by the IAS. All </w:t>
            </w:r>
            <w:r w:rsidR="00DB285C" w:rsidRPr="00B16800">
              <w:rPr>
                <w:noProof/>
                <w:lang w:val="en-US"/>
              </w:rPr>
              <w:t xml:space="preserve">actions </w:t>
            </w:r>
            <w:r w:rsidRPr="00B16800">
              <w:rPr>
                <w:noProof/>
                <w:lang w:val="en-US"/>
              </w:rPr>
              <w:t>are currently ongoing and progressing according to schedule. Full implementation is expected within the agreed timeframe, with some measures due by the end of June 2026 and the remainder by the end of December 2026.</w:t>
            </w:r>
          </w:p>
        </w:tc>
      </w:tr>
    </w:tbl>
    <w:p w14:paraId="083DC0DC" w14:textId="1F54CFEB" w:rsidR="00FC2817" w:rsidRPr="004B6CD8" w:rsidRDefault="0041531F" w:rsidP="00D74BE0">
      <w:pPr>
        <w:pStyle w:val="amprH3Title2-Numbered-11"/>
        <w:numPr>
          <w:ilvl w:val="1"/>
          <w:numId w:val="51"/>
        </w:numPr>
        <w:rPr>
          <w:noProof/>
        </w:rPr>
      </w:pPr>
      <w:bookmarkStart w:id="49" w:name="_Toc231235439"/>
      <w:r w:rsidRPr="004B6CD8">
        <w:rPr>
          <w:noProof/>
        </w:rPr>
        <w:t>Controls over aid to countries covered by a crisis declaration</w:t>
      </w:r>
      <w:r w:rsidR="00C0278E">
        <w:rPr>
          <w:noProof/>
        </w:rPr>
        <w:t xml:space="preserve"> (DG MENA)</w:t>
      </w:r>
      <w:bookmarkEnd w:id="49"/>
    </w:p>
    <w:p w14:paraId="215F4760"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the adequacy of the design, and the effective implementation of the risk management and control systems put in place by DG MENA to ensure that the financial aid provided to the sampled countries covered by a crisis declaration is delivered following the principle of sound operational and financial management.</w:t>
      </w:r>
    </w:p>
    <w:p w14:paraId="5F41F594" w14:textId="77777777" w:rsidR="0041531F" w:rsidRPr="004B6CD8" w:rsidRDefault="0041531F" w:rsidP="0041531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00772874" w14:textId="77777777" w:rsidR="0041531F" w:rsidRPr="004B6CD8" w:rsidRDefault="0041531F" w:rsidP="0041531F">
      <w:pPr>
        <w:jc w:val="both"/>
        <w:rPr>
          <w:rFonts w:cs="Times New Roman"/>
          <w:i/>
          <w:iCs/>
          <w:noProof/>
          <w:color w:val="003399" w:themeColor="text2"/>
          <w:lang w:val="en-GB"/>
        </w:rPr>
      </w:pPr>
      <w:r w:rsidRPr="004B6CD8">
        <w:rPr>
          <w:rFonts w:cs="Times New Roman"/>
          <w:i/>
          <w:iCs/>
          <w:noProof/>
          <w:color w:val="003399" w:themeColor="text2"/>
          <w:lang w:val="en-GB"/>
        </w:rPr>
        <w:t>Is the control system over financial aid to each of the sampled countries covered by a crisis declaration adequately designed to ensure that such aid is delivered according to the principle of sound financial management?</w:t>
      </w:r>
    </w:p>
    <w:p w14:paraId="76579D04"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The design of key controls is overall adequate, but the guidance on controls for crisis contexts is scattered across multiple documents and not consolidated, leading to inconsistent application and variable quality of justifications. While EU Delegations adapt and strengthen controls in practice, the lack of a single, comprehensive reference limits systematic risk mitigation, monitoring, and reporting. Good practices exist at specific EU Delegations but are not consistently shared.</w:t>
      </w:r>
    </w:p>
    <w:p w14:paraId="1A2F891C" w14:textId="77777777" w:rsidR="0041531F" w:rsidRPr="004B6CD8" w:rsidRDefault="0041531F" w:rsidP="0041531F">
      <w:pPr>
        <w:jc w:val="both"/>
        <w:rPr>
          <w:rFonts w:cs="Times New Roman"/>
          <w:i/>
          <w:iCs/>
          <w:noProof/>
          <w:color w:val="003399" w:themeColor="text2"/>
          <w:lang w:val="en-GB"/>
        </w:rPr>
      </w:pPr>
      <w:r w:rsidRPr="004B6CD8">
        <w:rPr>
          <w:rFonts w:cs="Times New Roman"/>
          <w:i/>
          <w:iCs/>
          <w:noProof/>
          <w:color w:val="003399" w:themeColor="text2"/>
          <w:lang w:val="en-GB"/>
        </w:rPr>
        <w:t>Is the control system over financial aid to each of the sampled countries covered by a crisis declaration adequately implemented in practice?</w:t>
      </w:r>
    </w:p>
    <w:p w14:paraId="2CABB058"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Overall, the key controls for financial aid under crisis declarations are largely in place and functioning, with measures to mitigate risks such as fraud, corruption, conflict of interest, and double funding. However, their consistent application is affected by varying experience levels of staff responsible for applying the relevant rules (due to staff turnover) and fragmented guidance across multiple documents. While many EU Delegations demonstrate good practices, such as structured evaluation committees and thorough legal and financial checks, some gaps persist, including incomplete verification of legal entities or eligibility criteria. Headquarters-level oversight remains limited, with annual reporting and coding constraints reducing the ability to systematically monitor flexible procedures. Consequently, although the framework is sound, its effectiveness depends heavily on staff knowledge and manual processing.</w:t>
      </w:r>
    </w:p>
    <w:p w14:paraId="5198EA26" w14:textId="77777777" w:rsidR="0041531F" w:rsidRPr="004B6CD8" w:rsidRDefault="0041531F" w:rsidP="0041531F">
      <w:pPr>
        <w:jc w:val="both"/>
        <w:rPr>
          <w:rFonts w:cs="Times New Roman"/>
          <w:i/>
          <w:iCs/>
          <w:noProof/>
          <w:color w:val="003399" w:themeColor="text2"/>
          <w:lang w:val="en-GB"/>
        </w:rPr>
      </w:pPr>
      <w:r w:rsidRPr="004B6CD8">
        <w:rPr>
          <w:rFonts w:cs="Times New Roman"/>
          <w:i/>
          <w:iCs/>
          <w:noProof/>
          <w:color w:val="003399" w:themeColor="text2"/>
          <w:lang w:val="en-GB"/>
        </w:rPr>
        <w:t>Is there effective monitoring and reporting on the effectiveness/ adequacy of key controls to ensure that financial aid is delivered effectively?</w:t>
      </w:r>
    </w:p>
    <w:p w14:paraId="725B86E6" w14:textId="008E6BFD" w:rsidR="00081853"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monitoring, reporting, and follow-up mechanisms for financial aid under crisis declarations remain largely manual, and not sufficiently structured. While a tagging system exists within the </w:t>
      </w:r>
      <w:r w:rsidR="003437FE" w:rsidRPr="004B6CD8">
        <w:rPr>
          <w:rFonts w:eastAsia="Calibri" w:cs="Times New Roman"/>
          <w:noProof/>
          <w:kern w:val="0"/>
          <w:lang w:val="en-GB"/>
          <w14:ligatures w14:val="none"/>
        </w:rPr>
        <w:t xml:space="preserve">corporate </w:t>
      </w:r>
      <w:r w:rsidRPr="004B6CD8">
        <w:rPr>
          <w:rFonts w:eastAsia="Calibri" w:cs="Times New Roman"/>
          <w:noProof/>
          <w:kern w:val="0"/>
          <w:lang w:val="en-GB"/>
          <w14:ligatures w14:val="none"/>
        </w:rPr>
        <w:t>IT system, it is not tailored to capture crisis declaration cases effectively, limiting the ability to systematically identify and track contracts for which flexible arrangement apply. Monitoring at Delegation level continues to rely heavily on staff knowledge and ad hoc checks, and reporting through tools such as External Assistance Management Reports and Annual Activity Reports provides limited and non-consistent insights on control effectiveness or risk exposure.</w:t>
      </w:r>
    </w:p>
    <w:p w14:paraId="3C531041" w14:textId="77777777" w:rsidR="0041531F" w:rsidRPr="004B6CD8" w:rsidRDefault="0041531F" w:rsidP="0041531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59A35A44"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the risk management and control systems put in place by DG MENA to ensure that the financial aid provided to countries covered by a crisis declaration are delivered following the principle of sound operational and financial management is adequately designed and effectively implemented except for the monitoring and reporting mechanism related to contracts concluded under flexible procedures.</w:t>
      </w:r>
    </w:p>
    <w:p w14:paraId="60C3085C" w14:textId="64A5566C"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4436DE7E" w14:textId="35F1657F" w:rsidR="00FC2817" w:rsidRPr="004B6CD8" w:rsidRDefault="001771BF" w:rsidP="00FC2817">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1, o</w:t>
      </w:r>
      <w:r w:rsidR="00FC2817" w:rsidRPr="004B6CD8">
        <w:rPr>
          <w:rFonts w:eastAsia="Calibri" w:cs="Times New Roman"/>
          <w:noProof/>
          <w:kern w:val="0"/>
          <w:lang w:val="en-GB"/>
          <w14:ligatures w14:val="none"/>
        </w:rPr>
        <w:t xml:space="preserve">n </w:t>
      </w:r>
      <w:r w:rsidR="0041531F" w:rsidRPr="004B6CD8">
        <w:rPr>
          <w:rFonts w:eastAsia="Calibri" w:cs="Times New Roman"/>
          <w:b/>
          <w:bCs/>
          <w:noProof/>
          <w:color w:val="003399" w:themeColor="text2"/>
          <w:kern w:val="0"/>
          <w:lang w:val="en-GB"/>
          <w14:ligatures w14:val="none"/>
        </w:rPr>
        <w:t>monitoring and reporting related to contracts concluded under flexible procedures</w:t>
      </w:r>
      <w:r w:rsidR="00FC2817" w:rsidRPr="004B6CD8">
        <w:rPr>
          <w:rFonts w:eastAsia="Calibri" w:cs="Times New Roman"/>
          <w:noProof/>
          <w:kern w:val="0"/>
          <w:lang w:val="en-GB"/>
          <w14:ligatures w14:val="none"/>
        </w:rPr>
        <w:t xml:space="preserve">, </w:t>
      </w:r>
      <w:r w:rsidR="00FC2817" w:rsidRPr="004B6CD8">
        <w:rPr>
          <w:rFonts w:eastAsia="Calibri" w:cs="Times New Roman"/>
          <w:b/>
          <w:bCs/>
          <w:noProof/>
          <w:color w:val="003399" w:themeColor="text2"/>
          <w:kern w:val="0"/>
          <w:lang w:val="en-GB"/>
          <w14:ligatures w14:val="none"/>
        </w:rPr>
        <w:t xml:space="preserve">DG </w:t>
      </w:r>
      <w:r w:rsidR="0041531F" w:rsidRPr="004B6CD8">
        <w:rPr>
          <w:rFonts w:eastAsia="Calibri" w:cs="Times New Roman"/>
          <w:b/>
          <w:bCs/>
          <w:noProof/>
          <w:color w:val="003399" w:themeColor="text2"/>
          <w:kern w:val="0"/>
          <w:lang w:val="en-GB"/>
          <w14:ligatures w14:val="none"/>
        </w:rPr>
        <w:t>MENA</w:t>
      </w:r>
      <w:r w:rsidR="00FC2817" w:rsidRPr="004B6CD8">
        <w:rPr>
          <w:rFonts w:eastAsia="Calibri" w:cs="Times New Roman"/>
          <w:noProof/>
          <w:color w:val="003399" w:themeColor="text2"/>
          <w:kern w:val="0"/>
          <w:lang w:val="en-GB"/>
          <w14:ligatures w14:val="none"/>
        </w:rPr>
        <w:t xml:space="preserve"> </w:t>
      </w:r>
      <w:r w:rsidR="00FC2817" w:rsidRPr="004B6CD8">
        <w:rPr>
          <w:rFonts w:eastAsia="Calibri" w:cs="Times New Roman"/>
          <w:noProof/>
          <w:kern w:val="0"/>
          <w:lang w:val="en-GB"/>
          <w14:ligatures w14:val="none"/>
        </w:rPr>
        <w:t>should:</w:t>
      </w:r>
    </w:p>
    <w:p w14:paraId="3E7D586F" w14:textId="58687A6D" w:rsidR="00FC2817" w:rsidRPr="004B6CD8" w:rsidRDefault="0041531F" w:rsidP="000345DD">
      <w:pPr>
        <w:pStyle w:val="amprLISTtealbullets-L1"/>
        <w:spacing w:after="240"/>
        <w:ind w:left="782" w:hanging="357"/>
        <w:rPr>
          <w:rFonts w:eastAsia="Calibri" w:cs="Times New Roman"/>
          <w:noProof/>
        </w:rPr>
      </w:pPr>
      <w:r w:rsidRPr="004B6CD8">
        <w:rPr>
          <w:rFonts w:eastAsia="Calibri" w:cs="Times New Roman"/>
          <w:noProof/>
        </w:rPr>
        <w:t>improve monitoring and reporting for flexible procedures</w:t>
      </w:r>
      <w:r w:rsidR="006A5808" w:rsidRPr="004B6CD8">
        <w:rPr>
          <w:rFonts w:eastAsia="Calibri" w:cs="Times New Roman"/>
          <w:noProof/>
        </w:rPr>
        <w: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FC2817" w:rsidRPr="007F05B2" w14:paraId="6B956219" w14:textId="77777777">
        <w:tc>
          <w:tcPr>
            <w:tcW w:w="9057" w:type="dxa"/>
          </w:tcPr>
          <w:p w14:paraId="18105F2C" w14:textId="77777777" w:rsidR="0041531F" w:rsidRPr="004B6CD8" w:rsidRDefault="0041531F" w:rsidP="0041531F">
            <w:pPr>
              <w:pStyle w:val="boldblue"/>
            </w:pPr>
            <w:r w:rsidRPr="004B6CD8">
              <w:t>Additional information provided by DG MENA on the implemented measures</w:t>
            </w:r>
          </w:p>
          <w:p w14:paraId="17C13EDD" w14:textId="623C48EC" w:rsidR="00FC2817" w:rsidRPr="004B6CD8" w:rsidRDefault="003437FE" w:rsidP="0041531F">
            <w:pPr>
              <w:jc w:val="both"/>
              <w:rPr>
                <w:noProof/>
              </w:rPr>
            </w:pPr>
            <w:r w:rsidRPr="004B6CD8">
              <w:rPr>
                <w:noProof/>
              </w:rPr>
              <w:t xml:space="preserve">The </w:t>
            </w:r>
            <w:r w:rsidR="00823F1E">
              <w:rPr>
                <w:noProof/>
              </w:rPr>
              <w:t xml:space="preserve">IAS issued the </w:t>
            </w:r>
            <w:r w:rsidRPr="004B6CD8">
              <w:rPr>
                <w:noProof/>
              </w:rPr>
              <w:t xml:space="preserve">final </w:t>
            </w:r>
            <w:r w:rsidR="00823F1E">
              <w:rPr>
                <w:noProof/>
              </w:rPr>
              <w:t xml:space="preserve">audit </w:t>
            </w:r>
            <w:r w:rsidRPr="004B6CD8">
              <w:rPr>
                <w:noProof/>
              </w:rPr>
              <w:t xml:space="preserve">report </w:t>
            </w:r>
            <w:r w:rsidR="00823F1E">
              <w:rPr>
                <w:noProof/>
              </w:rPr>
              <w:t>in</w:t>
            </w:r>
            <w:r w:rsidRPr="004B6CD8">
              <w:rPr>
                <w:noProof/>
              </w:rPr>
              <w:t xml:space="preserve"> December 2025. </w:t>
            </w:r>
            <w:r w:rsidR="00823F1E">
              <w:rPr>
                <w:noProof/>
              </w:rPr>
              <w:t>DG MENA set up</w:t>
            </w:r>
            <w:r w:rsidRPr="004B6CD8">
              <w:rPr>
                <w:noProof/>
              </w:rPr>
              <w:t xml:space="preserve"> an action plan</w:t>
            </w:r>
            <w:r w:rsidR="00823F1E">
              <w:rPr>
                <w:noProof/>
              </w:rPr>
              <w:t>,</w:t>
            </w:r>
            <w:r w:rsidRPr="004B6CD8">
              <w:rPr>
                <w:noProof/>
              </w:rPr>
              <w:t xml:space="preserve"> </w:t>
            </w:r>
            <w:r w:rsidR="00823F1E">
              <w:rPr>
                <w:noProof/>
              </w:rPr>
              <w:t xml:space="preserve">considered </w:t>
            </w:r>
            <w:r w:rsidR="009A5B9E">
              <w:rPr>
                <w:noProof/>
              </w:rPr>
              <w:t>satisfactory</w:t>
            </w:r>
            <w:r w:rsidRPr="004B6CD8">
              <w:rPr>
                <w:noProof/>
              </w:rPr>
              <w:t xml:space="preserve"> by the IAS </w:t>
            </w:r>
            <w:r w:rsidR="00823F1E">
              <w:rPr>
                <w:noProof/>
              </w:rPr>
              <w:t>in</w:t>
            </w:r>
            <w:r w:rsidR="0013445D" w:rsidRPr="004B6CD8">
              <w:rPr>
                <w:noProof/>
              </w:rPr>
              <w:t xml:space="preserve"> April </w:t>
            </w:r>
            <w:r w:rsidRPr="004B6CD8">
              <w:rPr>
                <w:noProof/>
              </w:rPr>
              <w:t xml:space="preserve">2026. DG MENA </w:t>
            </w:r>
            <w:r w:rsidR="00823F1E">
              <w:rPr>
                <w:noProof/>
              </w:rPr>
              <w:t xml:space="preserve">has </w:t>
            </w:r>
            <w:r w:rsidRPr="004B6CD8">
              <w:rPr>
                <w:noProof/>
              </w:rPr>
              <w:t>already started work</w:t>
            </w:r>
            <w:r w:rsidR="00823F1E">
              <w:rPr>
                <w:noProof/>
              </w:rPr>
              <w:t>ing</w:t>
            </w:r>
            <w:r w:rsidRPr="004B6CD8">
              <w:rPr>
                <w:noProof/>
              </w:rPr>
              <w:t xml:space="preserve"> on the implementation of the </w:t>
            </w:r>
            <w:r w:rsidR="00823F1E">
              <w:rPr>
                <w:noProof/>
              </w:rPr>
              <w:t xml:space="preserve">agreed </w:t>
            </w:r>
            <w:r w:rsidRPr="004B6CD8">
              <w:rPr>
                <w:noProof/>
              </w:rPr>
              <w:t xml:space="preserve">actions, particularly </w:t>
            </w:r>
            <w:r w:rsidR="00823F1E">
              <w:rPr>
                <w:noProof/>
              </w:rPr>
              <w:t xml:space="preserve">as </w:t>
            </w:r>
            <w:r w:rsidRPr="004B6CD8">
              <w:rPr>
                <w:noProof/>
              </w:rPr>
              <w:t xml:space="preserve">regards upgrading the features on the IT systems. </w:t>
            </w:r>
            <w:r w:rsidR="00823F1E">
              <w:rPr>
                <w:noProof/>
              </w:rPr>
              <w:t>N</w:t>
            </w:r>
            <w:r w:rsidRPr="004B6CD8">
              <w:rPr>
                <w:noProof/>
              </w:rPr>
              <w:t xml:space="preserve">o major difficulties are </w:t>
            </w:r>
            <w:r w:rsidR="00823F1E">
              <w:rPr>
                <w:noProof/>
              </w:rPr>
              <w:t>expected</w:t>
            </w:r>
            <w:r w:rsidR="009A5B9E">
              <w:rPr>
                <w:noProof/>
              </w:rPr>
              <w:t xml:space="preserve"> for </w:t>
            </w:r>
            <w:r w:rsidRPr="004B6CD8">
              <w:rPr>
                <w:noProof/>
              </w:rPr>
              <w:t xml:space="preserve">the action plan </w:t>
            </w:r>
            <w:r w:rsidR="009A5B9E">
              <w:rPr>
                <w:noProof/>
              </w:rPr>
              <w:t xml:space="preserve">to </w:t>
            </w:r>
            <w:r w:rsidR="00823F1E">
              <w:rPr>
                <w:noProof/>
              </w:rPr>
              <w:t>be</w:t>
            </w:r>
            <w:r w:rsidRPr="004B6CD8">
              <w:rPr>
                <w:noProof/>
              </w:rPr>
              <w:t xml:space="preserve"> implemented </w:t>
            </w:r>
            <w:r w:rsidR="00823F1E">
              <w:rPr>
                <w:noProof/>
              </w:rPr>
              <w:t xml:space="preserve">within the </w:t>
            </w:r>
            <w:r w:rsidR="009A5B9E">
              <w:rPr>
                <w:noProof/>
              </w:rPr>
              <w:t>planned</w:t>
            </w:r>
            <w:r w:rsidRPr="004B6CD8">
              <w:rPr>
                <w:noProof/>
              </w:rPr>
              <w:t xml:space="preserve"> time</w:t>
            </w:r>
            <w:r w:rsidR="00823F1E">
              <w:rPr>
                <w:noProof/>
              </w:rPr>
              <w:t>frame</w:t>
            </w:r>
            <w:r w:rsidRPr="004B6CD8">
              <w:rPr>
                <w:noProof/>
              </w:rPr>
              <w:t>.</w:t>
            </w:r>
          </w:p>
        </w:tc>
      </w:tr>
    </w:tbl>
    <w:p w14:paraId="7592CB14" w14:textId="0BF348CA" w:rsidR="00FC2817" w:rsidRPr="004B6CD8" w:rsidRDefault="0041531F" w:rsidP="00D74BE0">
      <w:pPr>
        <w:pStyle w:val="amprH3Title2-Numbered-11"/>
        <w:numPr>
          <w:ilvl w:val="1"/>
          <w:numId w:val="51"/>
        </w:numPr>
        <w:rPr>
          <w:noProof/>
        </w:rPr>
      </w:pPr>
      <w:bookmarkStart w:id="50" w:name="_Toc231235440"/>
      <w:r w:rsidRPr="004B6CD8">
        <w:rPr>
          <w:noProof/>
        </w:rPr>
        <w:t xml:space="preserve">Recovery and Resilience Facility risk assessment methodology and </w:t>
      </w:r>
      <w:r w:rsidRPr="008A53FC">
        <w:rPr>
          <w:i/>
          <w:iCs/>
          <w:noProof/>
        </w:rPr>
        <w:t>ex</w:t>
      </w:r>
      <w:r w:rsidRPr="004B6CD8">
        <w:rPr>
          <w:noProof/>
        </w:rPr>
        <w:t xml:space="preserve"> </w:t>
      </w:r>
      <w:r w:rsidRPr="008A53FC">
        <w:rPr>
          <w:i/>
          <w:iCs/>
          <w:noProof/>
        </w:rPr>
        <w:t>post</w:t>
      </w:r>
      <w:r w:rsidRPr="004B6CD8">
        <w:rPr>
          <w:noProof/>
        </w:rPr>
        <w:t xml:space="preserve"> audits</w:t>
      </w:r>
      <w:r w:rsidR="00C0278E">
        <w:rPr>
          <w:noProof/>
        </w:rPr>
        <w:t xml:space="preserve"> (DG ECFIN)</w:t>
      </w:r>
      <w:bookmarkEnd w:id="50"/>
    </w:p>
    <w:p w14:paraId="53264C5D"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objective of the audit was to assess the risk management and control processes for the Recovery and Resilience Facility </w:t>
      </w:r>
      <w:r w:rsidRPr="008A53FC">
        <w:rPr>
          <w:rFonts w:eastAsia="Calibri" w:cs="Times New Roman"/>
          <w:i/>
          <w:iCs/>
          <w:noProof/>
          <w:kern w:val="0"/>
          <w:lang w:val="en-GB"/>
          <w14:ligatures w14:val="none"/>
        </w:rPr>
        <w:t>ex</w:t>
      </w:r>
      <w:r w:rsidRPr="004B6CD8">
        <w:rPr>
          <w:rFonts w:eastAsia="Calibri" w:cs="Times New Roman"/>
          <w:noProof/>
          <w:kern w:val="0"/>
          <w:lang w:val="en-GB"/>
          <w14:ligatures w14:val="none"/>
        </w:rPr>
        <w:t xml:space="preserve"> </w:t>
      </w:r>
      <w:r w:rsidRPr="008A53FC">
        <w:rPr>
          <w:rFonts w:eastAsia="Calibri" w:cs="Times New Roman"/>
          <w:i/>
          <w:iCs/>
          <w:noProof/>
          <w:kern w:val="0"/>
          <w:lang w:val="en-GB"/>
          <w14:ligatures w14:val="none"/>
        </w:rPr>
        <w:t>post</w:t>
      </w:r>
      <w:r w:rsidRPr="004B6CD8">
        <w:rPr>
          <w:rFonts w:eastAsia="Calibri" w:cs="Times New Roman"/>
          <w:noProof/>
          <w:kern w:val="0"/>
          <w:lang w:val="en-GB"/>
          <w14:ligatures w14:val="none"/>
        </w:rPr>
        <w:t xml:space="preserve"> audits (i.e. audit on milestones and targets and combined system audits) and their compliance with the Recovery and Resilience Facility Regulation.</w:t>
      </w:r>
    </w:p>
    <w:p w14:paraId="7F4C713C" w14:textId="77777777" w:rsidR="0041531F" w:rsidRPr="004B6CD8" w:rsidRDefault="0041531F" w:rsidP="0041531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32A108C1" w14:textId="77777777" w:rsidR="0041531F" w:rsidRPr="004B6CD8" w:rsidRDefault="0041531F" w:rsidP="0041531F">
      <w:pPr>
        <w:jc w:val="both"/>
        <w:rPr>
          <w:rFonts w:cs="Times New Roman"/>
          <w:i/>
          <w:iCs/>
          <w:noProof/>
          <w:color w:val="003399" w:themeColor="text2"/>
          <w:lang w:val="en-GB"/>
        </w:rPr>
      </w:pPr>
      <w:r w:rsidRPr="004B6CD8">
        <w:rPr>
          <w:rFonts w:cs="Times New Roman"/>
          <w:i/>
          <w:iCs/>
          <w:noProof/>
          <w:color w:val="003399" w:themeColor="text2"/>
          <w:lang w:val="en-GB"/>
        </w:rPr>
        <w:t xml:space="preserve">Has DG ECFIN designed an adequate risk assessment methodology and ex post audit process? </w:t>
      </w:r>
    </w:p>
    <w:p w14:paraId="66D994A0"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DG ECFIN's risk assessment methodology for selecting milestones and targets for </w:t>
      </w:r>
      <w:r w:rsidRPr="008A53FC">
        <w:rPr>
          <w:rFonts w:eastAsia="Calibri" w:cs="Times New Roman"/>
          <w:i/>
          <w:iCs/>
          <w:noProof/>
          <w:kern w:val="0"/>
          <w:lang w:val="en-GB"/>
          <w14:ligatures w14:val="none"/>
        </w:rPr>
        <w:t>ex post</w:t>
      </w:r>
      <w:r w:rsidRPr="004B6CD8">
        <w:rPr>
          <w:rFonts w:eastAsia="Calibri" w:cs="Times New Roman"/>
          <w:noProof/>
          <w:kern w:val="0"/>
          <w:lang w:val="en-GB"/>
          <w14:ligatures w14:val="none"/>
        </w:rPr>
        <w:t xml:space="preserve"> audits is clear and adequate. However, the methodology has not been reviewed since it was developed to ensure that the key risk factors remain valid, and that the risk scoring system enables clearer comparisons of risk levels of milestones and targets. In addition, there are no clear instructions on how to document possible modification of risk levels following the application of professional judgment.</w:t>
      </w:r>
    </w:p>
    <w:p w14:paraId="4427A706"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design of the </w:t>
      </w:r>
      <w:r w:rsidRPr="00E3411F">
        <w:rPr>
          <w:rFonts w:eastAsia="Calibri" w:cs="Times New Roman"/>
          <w:i/>
          <w:iCs/>
          <w:noProof/>
          <w:kern w:val="0"/>
          <w:lang w:val="en-GB"/>
          <w14:ligatures w14:val="none"/>
        </w:rPr>
        <w:t>ex</w:t>
      </w:r>
      <w:r w:rsidRPr="004B6CD8">
        <w:rPr>
          <w:rFonts w:eastAsia="Calibri" w:cs="Times New Roman"/>
          <w:noProof/>
          <w:kern w:val="0"/>
          <w:lang w:val="en-GB"/>
          <w14:ligatures w14:val="none"/>
        </w:rPr>
        <w:t xml:space="preserve"> </w:t>
      </w:r>
      <w:r w:rsidRPr="00E3411F">
        <w:rPr>
          <w:rFonts w:eastAsia="Calibri" w:cs="Times New Roman"/>
          <w:i/>
          <w:iCs/>
          <w:noProof/>
          <w:kern w:val="0"/>
          <w:lang w:val="en-GB"/>
          <w14:ligatures w14:val="none"/>
        </w:rPr>
        <w:t>post</w:t>
      </w:r>
      <w:r w:rsidRPr="004B6CD8">
        <w:rPr>
          <w:rFonts w:eastAsia="Calibri" w:cs="Times New Roman"/>
          <w:noProof/>
          <w:kern w:val="0"/>
          <w:lang w:val="en-GB"/>
          <w14:ligatures w14:val="none"/>
        </w:rPr>
        <w:t xml:space="preserve"> audit process is adequate and well detailed, but instructions for drafting audit objectives and scope are not clear, as well as some performance indicators. </w:t>
      </w:r>
    </w:p>
    <w:p w14:paraId="403F7668" w14:textId="77777777" w:rsidR="0041531F" w:rsidRPr="004B6CD8" w:rsidRDefault="0041531F" w:rsidP="0041531F">
      <w:pPr>
        <w:jc w:val="both"/>
        <w:rPr>
          <w:rFonts w:cs="Times New Roman"/>
          <w:i/>
          <w:iCs/>
          <w:noProof/>
          <w:color w:val="003399" w:themeColor="text2"/>
          <w:lang w:val="en-GB"/>
        </w:rPr>
      </w:pPr>
      <w:r w:rsidRPr="004B6CD8">
        <w:rPr>
          <w:rFonts w:cs="Times New Roman"/>
          <w:i/>
          <w:iCs/>
          <w:noProof/>
          <w:color w:val="003399" w:themeColor="text2"/>
          <w:lang w:val="en-GB"/>
        </w:rPr>
        <w:t>Is the risk assessment methodology and the ex post audits on the Recovery and Resilience Facility efficiently and effectively implemented by DG ECFIN?</w:t>
      </w:r>
    </w:p>
    <w:p w14:paraId="5DAE5CD4"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Overall, the risk assessment methodology and the audit process are implemented as designed. The risk assessments files sampled were well documented, although with varying practices across the teams not harmonised. </w:t>
      </w:r>
      <w:r w:rsidRPr="00E3411F">
        <w:rPr>
          <w:rFonts w:eastAsia="Calibri" w:cs="Times New Roman"/>
          <w:i/>
          <w:iCs/>
          <w:noProof/>
          <w:kern w:val="0"/>
          <w:lang w:val="en-GB"/>
          <w14:ligatures w14:val="none"/>
        </w:rPr>
        <w:t>Ex post</w:t>
      </w:r>
      <w:r w:rsidRPr="004B6CD8">
        <w:rPr>
          <w:rFonts w:eastAsia="Calibri" w:cs="Times New Roman"/>
          <w:noProof/>
          <w:kern w:val="0"/>
          <w:lang w:val="en-GB"/>
          <w14:ligatures w14:val="none"/>
        </w:rPr>
        <w:t xml:space="preserve"> audits were executed, documented, and reported according to the internal procedures. Audit deliverables tested, such as mission planning memoranda and audit reports are of good quality. However, there is a long audit throughput time resulting in an extended duration of </w:t>
      </w:r>
      <w:r w:rsidRPr="00E3411F">
        <w:rPr>
          <w:rFonts w:eastAsia="Calibri" w:cs="Times New Roman"/>
          <w:i/>
          <w:iCs/>
          <w:noProof/>
          <w:kern w:val="0"/>
          <w:lang w:val="en-GB"/>
          <w14:ligatures w14:val="none"/>
        </w:rPr>
        <w:t>ex post</w:t>
      </w:r>
      <w:r w:rsidRPr="004B6CD8">
        <w:rPr>
          <w:rFonts w:eastAsia="Calibri" w:cs="Times New Roman"/>
          <w:noProof/>
          <w:kern w:val="0"/>
          <w:lang w:val="en-GB"/>
          <w14:ligatures w14:val="none"/>
        </w:rPr>
        <w:t xml:space="preserve"> audits. The main reasons for the long duration of audits are their complex nature and broad audit scope (combining elements of different type of engagements), the length of the review of supplementary documentation, quality assurance and internal consultation, deadline extensions granted to Member States for providing additional documents, as well as time required for official translation of draft and finals audit reports.</w:t>
      </w:r>
    </w:p>
    <w:p w14:paraId="052C242F" w14:textId="77777777" w:rsidR="0041531F" w:rsidRPr="004B6CD8" w:rsidRDefault="0041531F" w:rsidP="0041531F">
      <w:pPr>
        <w:jc w:val="both"/>
        <w:rPr>
          <w:rFonts w:cs="Times New Roman"/>
          <w:i/>
          <w:iCs/>
          <w:noProof/>
          <w:color w:val="003399" w:themeColor="text2"/>
          <w:lang w:val="en-GB"/>
        </w:rPr>
      </w:pPr>
      <w:r w:rsidRPr="004B6CD8">
        <w:rPr>
          <w:rFonts w:cs="Times New Roman"/>
          <w:i/>
          <w:iCs/>
          <w:noProof/>
          <w:color w:val="003399" w:themeColor="text2"/>
          <w:lang w:val="en-GB"/>
        </w:rPr>
        <w:t>Is DG ECFIN’s monitoring and reporting on Recovery and Resilience Facility ex post audits efficient and effective?</w:t>
      </w:r>
    </w:p>
    <w:p w14:paraId="0974D986"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DG ECFIN has defined four core indicators to monitor the implementation of the audit strategy, two of which are regularly followed up and reported in the Annual Activity Report but require further clarification. </w:t>
      </w:r>
    </w:p>
    <w:p w14:paraId="62C990DE"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DG ECFIN’s reporting on the </w:t>
      </w:r>
      <w:r w:rsidRPr="00E3411F">
        <w:rPr>
          <w:rFonts w:eastAsia="Calibri" w:cs="Times New Roman"/>
          <w:i/>
          <w:iCs/>
          <w:noProof/>
          <w:kern w:val="0"/>
          <w:lang w:val="en-GB"/>
          <w14:ligatures w14:val="none"/>
        </w:rPr>
        <w:t>ex</w:t>
      </w:r>
      <w:r w:rsidRPr="004B6CD8">
        <w:rPr>
          <w:rFonts w:eastAsia="Calibri" w:cs="Times New Roman"/>
          <w:noProof/>
          <w:kern w:val="0"/>
          <w:lang w:val="en-GB"/>
          <w14:ligatures w14:val="none"/>
        </w:rPr>
        <w:t xml:space="preserve"> </w:t>
      </w:r>
      <w:r w:rsidRPr="00E3411F">
        <w:rPr>
          <w:rFonts w:eastAsia="Calibri" w:cs="Times New Roman"/>
          <w:i/>
          <w:iCs/>
          <w:noProof/>
          <w:kern w:val="0"/>
          <w:lang w:val="en-GB"/>
          <w14:ligatures w14:val="none"/>
        </w:rPr>
        <w:t>post</w:t>
      </w:r>
      <w:r w:rsidRPr="004B6CD8">
        <w:rPr>
          <w:rFonts w:eastAsia="Calibri" w:cs="Times New Roman"/>
          <w:noProof/>
          <w:kern w:val="0"/>
          <w:lang w:val="en-GB"/>
          <w14:ligatures w14:val="none"/>
        </w:rPr>
        <w:t xml:space="preserve"> audits sampled was overall efficient and effective. However, the information on </w:t>
      </w:r>
      <w:r w:rsidRPr="00E3411F">
        <w:rPr>
          <w:rFonts w:eastAsia="Calibri" w:cs="Times New Roman"/>
          <w:i/>
          <w:iCs/>
          <w:noProof/>
          <w:kern w:val="0"/>
          <w:lang w:val="en-GB"/>
          <w14:ligatures w14:val="none"/>
        </w:rPr>
        <w:t>ex</w:t>
      </w:r>
      <w:r w:rsidRPr="004B6CD8">
        <w:rPr>
          <w:rFonts w:eastAsia="Calibri" w:cs="Times New Roman"/>
          <w:noProof/>
          <w:kern w:val="0"/>
          <w:lang w:val="en-GB"/>
          <w14:ligatures w14:val="none"/>
        </w:rPr>
        <w:t xml:space="preserve"> </w:t>
      </w:r>
      <w:r w:rsidRPr="00E3411F">
        <w:rPr>
          <w:rFonts w:eastAsia="Calibri" w:cs="Times New Roman"/>
          <w:i/>
          <w:iCs/>
          <w:noProof/>
          <w:kern w:val="0"/>
          <w:lang w:val="en-GB"/>
          <w14:ligatures w14:val="none"/>
        </w:rPr>
        <w:t>post</w:t>
      </w:r>
      <w:r w:rsidRPr="004B6CD8">
        <w:rPr>
          <w:rFonts w:eastAsia="Calibri" w:cs="Times New Roman"/>
          <w:noProof/>
          <w:kern w:val="0"/>
          <w:lang w:val="en-GB"/>
          <w14:ligatures w14:val="none"/>
        </w:rPr>
        <w:t xml:space="preserve"> audits included in the Annual Activity Report does not provide details on their status (completed, reporting stage, flash report) at the cut-off date for reporting.</w:t>
      </w:r>
    </w:p>
    <w:p w14:paraId="69C76E69" w14:textId="16D17827" w:rsidR="0041531F" w:rsidRPr="004B6CD8" w:rsidRDefault="0041531F" w:rsidP="0041531F">
      <w:pPr>
        <w:jc w:val="both"/>
        <w:rPr>
          <w:rFonts w:eastAsia="Calibri" w:cs="Times New Roman"/>
          <w:noProof/>
          <w:kern w:val="0"/>
          <w:lang w:val="en-GB"/>
          <w14:ligatures w14:val="none"/>
        </w:rPr>
      </w:pPr>
      <w:r w:rsidRPr="00E3411F">
        <w:rPr>
          <w:rFonts w:eastAsia="Calibri" w:cs="Times New Roman"/>
          <w:i/>
          <w:iCs/>
          <w:noProof/>
          <w:kern w:val="0"/>
          <w:lang w:val="en-GB"/>
          <w14:ligatures w14:val="none"/>
        </w:rPr>
        <w:t>Ex</w:t>
      </w:r>
      <w:r w:rsidRPr="004B6CD8">
        <w:rPr>
          <w:rFonts w:eastAsia="Calibri" w:cs="Times New Roman"/>
          <w:noProof/>
          <w:kern w:val="0"/>
          <w:lang w:val="en-GB"/>
          <w14:ligatures w14:val="none"/>
        </w:rPr>
        <w:t xml:space="preserve"> </w:t>
      </w:r>
      <w:r w:rsidRPr="00E3411F">
        <w:rPr>
          <w:rFonts w:eastAsia="Calibri" w:cs="Times New Roman"/>
          <w:i/>
          <w:iCs/>
          <w:noProof/>
          <w:kern w:val="0"/>
          <w:lang w:val="en-GB"/>
          <w14:ligatures w14:val="none"/>
        </w:rPr>
        <w:t>post</w:t>
      </w:r>
      <w:r w:rsidRPr="004B6CD8">
        <w:rPr>
          <w:rFonts w:eastAsia="Calibri" w:cs="Times New Roman"/>
          <w:noProof/>
          <w:kern w:val="0"/>
          <w:lang w:val="en-GB"/>
          <w14:ligatures w14:val="none"/>
        </w:rPr>
        <w:t xml:space="preserve"> audit reports and audit deliverables include the statement that audits are conducted in accordance with International Standards on Auditing and in particular with the</w:t>
      </w:r>
      <w:r w:rsidR="00225D23" w:rsidRPr="004B6CD8">
        <w:rPr>
          <w:rFonts w:eastAsia="Calibri" w:cs="Times New Roman"/>
          <w:noProof/>
          <w:kern w:val="0"/>
          <w:lang w:val="en-GB"/>
          <w14:ligatures w14:val="none"/>
        </w:rPr>
        <w:t xml:space="preserve"> International Organization of Supreme Audit Institutions (INTOSAI)</w:t>
      </w:r>
      <w:r w:rsidRPr="004B6CD8">
        <w:rPr>
          <w:rFonts w:eastAsia="Calibri" w:cs="Times New Roman"/>
          <w:noProof/>
          <w:kern w:val="0"/>
          <w:lang w:val="en-GB"/>
          <w14:ligatures w14:val="none"/>
        </w:rPr>
        <w:t xml:space="preserve"> standard </w:t>
      </w:r>
      <w:r w:rsidR="00225D23" w:rsidRPr="004B6CD8">
        <w:rPr>
          <w:rFonts w:eastAsia="Calibri" w:cs="Times New Roman"/>
          <w:noProof/>
          <w:kern w:val="0"/>
          <w:lang w:val="en-GB"/>
          <w14:ligatures w14:val="none"/>
        </w:rPr>
        <w:t>International Standards of Supreme Audit Institutions (</w:t>
      </w:r>
      <w:r w:rsidRPr="004B6CD8">
        <w:rPr>
          <w:rFonts w:eastAsia="Calibri" w:cs="Times New Roman"/>
          <w:noProof/>
          <w:kern w:val="0"/>
          <w:lang w:val="en-GB"/>
          <w14:ligatures w14:val="none"/>
        </w:rPr>
        <w:t>ISSAI</w:t>
      </w:r>
      <w:r w:rsidR="00225D23" w:rsidRPr="004B6CD8">
        <w:rPr>
          <w:rFonts w:eastAsia="Calibri" w:cs="Times New Roman"/>
          <w:noProof/>
          <w:kern w:val="0"/>
          <w:lang w:val="en-GB"/>
          <w14:ligatures w14:val="none"/>
        </w:rPr>
        <w:t>)</w:t>
      </w:r>
      <w:r w:rsidRPr="004B6CD8">
        <w:rPr>
          <w:rFonts w:eastAsia="Calibri" w:cs="Times New Roman"/>
          <w:noProof/>
          <w:kern w:val="0"/>
          <w:lang w:val="en-GB"/>
          <w14:ligatures w14:val="none"/>
        </w:rPr>
        <w:t xml:space="preserve"> 4000, however the current formulation is misleading as it does not clarify the degree of compliance with the standard (partially or in full).</w:t>
      </w:r>
    </w:p>
    <w:p w14:paraId="22E3A337" w14:textId="77777777" w:rsidR="0041531F" w:rsidRPr="004B6CD8" w:rsidRDefault="0041531F" w:rsidP="0041531F">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11F92C21" w14:textId="77777777" w:rsidR="0041531F" w:rsidRPr="004B6CD8" w:rsidRDefault="0041531F" w:rsidP="0041531F">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IAS concluded that, overall, DG ECFIN adequately designed and effectively implemented risk management and control processes for the Recovery and Resilience Facility risk assessment methodology and </w:t>
      </w:r>
      <w:r w:rsidRPr="00E3411F">
        <w:rPr>
          <w:rFonts w:eastAsia="Calibri" w:cs="Times New Roman"/>
          <w:i/>
          <w:iCs/>
          <w:noProof/>
          <w:kern w:val="0"/>
          <w:lang w:val="en-GB"/>
          <w14:ligatures w14:val="none"/>
        </w:rPr>
        <w:t>ex post</w:t>
      </w:r>
      <w:r w:rsidRPr="004B6CD8">
        <w:rPr>
          <w:rFonts w:eastAsia="Calibri" w:cs="Times New Roman"/>
          <w:noProof/>
          <w:kern w:val="0"/>
          <w:lang w:val="en-GB"/>
          <w14:ligatures w14:val="none"/>
        </w:rPr>
        <w:t xml:space="preserve"> audits on milestones and targets, in compliance with the Recovery and Resilience Facility Regulation, except for the two very important issues related to the duration of audits and auditing standards and quality assurance programme</w:t>
      </w:r>
    </w:p>
    <w:p w14:paraId="3524960D" w14:textId="097E20F3"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262AB5FA" w14:textId="46C2CE63" w:rsidR="00FC2817" w:rsidRPr="004B6CD8" w:rsidRDefault="001771BF" w:rsidP="00FC2817">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3, o</w:t>
      </w:r>
      <w:r w:rsidR="00FC2817" w:rsidRPr="004B6CD8">
        <w:rPr>
          <w:rFonts w:eastAsia="Calibri" w:cs="Times New Roman"/>
          <w:noProof/>
          <w:kern w:val="0"/>
          <w:lang w:val="en-GB"/>
          <w14:ligatures w14:val="none"/>
        </w:rPr>
        <w:t xml:space="preserve">n </w:t>
      </w:r>
      <w:r w:rsidR="0041531F" w:rsidRPr="004B6CD8">
        <w:rPr>
          <w:rFonts w:eastAsia="Calibri" w:cs="Times New Roman"/>
          <w:b/>
          <w:bCs/>
          <w:noProof/>
          <w:color w:val="003399" w:themeColor="text2"/>
          <w:kern w:val="0"/>
          <w:lang w:val="en-GB"/>
          <w14:ligatures w14:val="none"/>
        </w:rPr>
        <w:t>duration of audits and reporting</w:t>
      </w:r>
      <w:r w:rsidR="00FC2817" w:rsidRPr="004B6CD8">
        <w:rPr>
          <w:rFonts w:eastAsia="Calibri" w:cs="Times New Roman"/>
          <w:noProof/>
          <w:kern w:val="0"/>
          <w:lang w:val="en-GB"/>
          <w14:ligatures w14:val="none"/>
        </w:rPr>
        <w:t xml:space="preserve">, </w:t>
      </w:r>
      <w:r w:rsidR="00FC2817" w:rsidRPr="004B6CD8">
        <w:rPr>
          <w:rFonts w:eastAsia="Calibri" w:cs="Times New Roman"/>
          <w:b/>
          <w:bCs/>
          <w:noProof/>
          <w:color w:val="003399" w:themeColor="text2"/>
          <w:kern w:val="0"/>
          <w:lang w:val="en-GB"/>
          <w14:ligatures w14:val="none"/>
        </w:rPr>
        <w:t>DG ECFIN</w:t>
      </w:r>
      <w:r w:rsidR="00FC2817" w:rsidRPr="004B6CD8">
        <w:rPr>
          <w:rFonts w:eastAsia="Calibri" w:cs="Times New Roman"/>
          <w:noProof/>
          <w:color w:val="003399" w:themeColor="text2"/>
          <w:kern w:val="0"/>
          <w:lang w:val="en-GB"/>
          <w14:ligatures w14:val="none"/>
        </w:rPr>
        <w:t xml:space="preserve"> </w:t>
      </w:r>
      <w:r w:rsidR="00FC2817" w:rsidRPr="004B6CD8">
        <w:rPr>
          <w:rFonts w:eastAsia="Calibri" w:cs="Times New Roman"/>
          <w:noProof/>
          <w:kern w:val="0"/>
          <w:lang w:val="en-GB"/>
          <w14:ligatures w14:val="none"/>
        </w:rPr>
        <w:t>should:</w:t>
      </w:r>
    </w:p>
    <w:p w14:paraId="730A9B8C" w14:textId="3B2D9E23" w:rsidR="0041531F" w:rsidRPr="004B6CD8" w:rsidRDefault="0041531F" w:rsidP="0041531F">
      <w:pPr>
        <w:pStyle w:val="amprLISTtealbullets-L1"/>
        <w:rPr>
          <w:noProof/>
        </w:rPr>
      </w:pPr>
      <w:r w:rsidRPr="004B6CD8">
        <w:rPr>
          <w:noProof/>
        </w:rPr>
        <w:t xml:space="preserve">reduce delays in the </w:t>
      </w:r>
      <w:r w:rsidRPr="004B6CD8">
        <w:rPr>
          <w:i/>
          <w:iCs/>
          <w:noProof/>
        </w:rPr>
        <w:t>ex post</w:t>
      </w:r>
      <w:r w:rsidRPr="004B6CD8">
        <w:rPr>
          <w:noProof/>
        </w:rPr>
        <w:t xml:space="preserve"> audit process and ensure completeness of Annual Activity Reports</w:t>
      </w:r>
      <w:r w:rsidR="006A5808" w:rsidRPr="004B6CD8">
        <w:rPr>
          <w:noProof/>
        </w:rPr>
        <w:t>.</w:t>
      </w:r>
    </w:p>
    <w:p w14:paraId="69872A89" w14:textId="3A748A13" w:rsidR="00FC2817" w:rsidRPr="004B6CD8" w:rsidRDefault="001771BF" w:rsidP="00FC2817">
      <w:pPr>
        <w:jc w:val="both"/>
        <w:rPr>
          <w:rFonts w:eastAsia="Calibri" w:cs="Times New Roman"/>
          <w:noProof/>
          <w:kern w:val="0"/>
          <w:lang w:val="en-GB"/>
          <w14:ligatures w14:val="none"/>
        </w:rPr>
      </w:pPr>
      <w:r>
        <w:rPr>
          <w:rFonts w:eastAsia="Calibri" w:cs="Times New Roman"/>
          <w:noProof/>
          <w:lang w:val="en-GB"/>
        </w:rPr>
        <w:t xml:space="preserve">Recommendation No </w:t>
      </w:r>
      <w:r w:rsidR="00B62180">
        <w:rPr>
          <w:rFonts w:eastAsia="Calibri" w:cs="Times New Roman"/>
          <w:noProof/>
          <w:lang w:val="en-GB"/>
        </w:rPr>
        <w:t>4, o</w:t>
      </w:r>
      <w:r w:rsidR="00FC2817" w:rsidRPr="004B6CD8">
        <w:rPr>
          <w:rFonts w:eastAsia="Calibri" w:cs="Times New Roman"/>
          <w:noProof/>
          <w:lang w:val="en-GB"/>
        </w:rPr>
        <w:t xml:space="preserve">n </w:t>
      </w:r>
      <w:r w:rsidR="00FC2817" w:rsidRPr="004B6CD8">
        <w:rPr>
          <w:rFonts w:eastAsia="Calibri" w:cs="Times New Roman"/>
          <w:b/>
          <w:bCs/>
          <w:noProof/>
          <w:color w:val="003399" w:themeColor="text2"/>
          <w:kern w:val="0"/>
          <w:lang w:val="en-GB"/>
          <w14:ligatures w14:val="none"/>
        </w:rPr>
        <w:t>a</w:t>
      </w:r>
      <w:r w:rsidR="0041531F" w:rsidRPr="004B6CD8">
        <w:rPr>
          <w:rFonts w:eastAsia="Calibri" w:cs="Times New Roman"/>
          <w:b/>
          <w:bCs/>
          <w:noProof/>
          <w:color w:val="003399" w:themeColor="text2"/>
          <w:kern w:val="0"/>
          <w:lang w:val="en-GB"/>
          <w14:ligatures w14:val="none"/>
        </w:rPr>
        <w:t>uditing standard and quality assurance programme</w:t>
      </w:r>
      <w:r w:rsidR="00FC2817" w:rsidRPr="004B6CD8">
        <w:rPr>
          <w:rFonts w:eastAsia="Calibri" w:cs="Times New Roman"/>
          <w:b/>
          <w:bCs/>
          <w:noProof/>
          <w:color w:val="003399" w:themeColor="text2"/>
          <w:kern w:val="0"/>
          <w:lang w:val="en-GB"/>
          <w14:ligatures w14:val="none"/>
        </w:rPr>
        <w:t>,</w:t>
      </w:r>
      <w:r w:rsidR="00FC2817" w:rsidRPr="004B6CD8">
        <w:rPr>
          <w:rFonts w:eastAsia="Calibri" w:cs="Times New Roman"/>
          <w:b/>
          <w:bCs/>
          <w:noProof/>
          <w:color w:val="008139" w:themeColor="accent1"/>
          <w:lang w:val="en-GB"/>
        </w:rPr>
        <w:t xml:space="preserve"> </w:t>
      </w:r>
      <w:r w:rsidR="00FC2817" w:rsidRPr="004B6CD8">
        <w:rPr>
          <w:rFonts w:eastAsia="Calibri" w:cs="Times New Roman"/>
          <w:b/>
          <w:bCs/>
          <w:noProof/>
          <w:color w:val="003399" w:themeColor="text2"/>
          <w:kern w:val="0"/>
          <w:lang w:val="en-GB"/>
          <w14:ligatures w14:val="none"/>
        </w:rPr>
        <w:t>DG ECFIN</w:t>
      </w:r>
      <w:r w:rsidR="00FC2817" w:rsidRPr="004B6CD8">
        <w:rPr>
          <w:rFonts w:eastAsia="Calibri" w:cs="Times New Roman"/>
          <w:noProof/>
          <w:color w:val="003399" w:themeColor="text2"/>
          <w:kern w:val="0"/>
          <w:lang w:val="en-GB"/>
          <w14:ligatures w14:val="none"/>
        </w:rPr>
        <w:t xml:space="preserve"> </w:t>
      </w:r>
      <w:r w:rsidR="00FC2817" w:rsidRPr="004B6CD8">
        <w:rPr>
          <w:rFonts w:eastAsia="Calibri" w:cs="Times New Roman"/>
          <w:noProof/>
          <w:kern w:val="0"/>
          <w:lang w:val="en-GB"/>
          <w14:ligatures w14:val="none"/>
        </w:rPr>
        <w:t xml:space="preserve">should: </w:t>
      </w:r>
    </w:p>
    <w:p w14:paraId="679E1464" w14:textId="10314177" w:rsidR="00FC2817" w:rsidRPr="004B6CD8" w:rsidRDefault="0041531F" w:rsidP="001B543F">
      <w:pPr>
        <w:pStyle w:val="amprLISTtealbullets-L1"/>
        <w:spacing w:after="240"/>
        <w:ind w:left="782" w:hanging="357"/>
        <w:rPr>
          <w:rFonts w:eastAsia="Calibri" w:cs="Times New Roman"/>
          <w:noProof/>
        </w:rPr>
      </w:pPr>
      <w:r w:rsidRPr="004B6CD8">
        <w:rPr>
          <w:rFonts w:eastAsia="Calibri" w:cs="Times New Roman"/>
          <w:noProof/>
        </w:rPr>
        <w:t xml:space="preserve">clarify the framework and standards guiding the </w:t>
      </w:r>
      <w:r w:rsidRPr="008A53FC">
        <w:rPr>
          <w:rFonts w:eastAsia="Calibri" w:cs="Times New Roman"/>
          <w:i/>
          <w:iCs/>
          <w:noProof/>
        </w:rPr>
        <w:t>ex post</w:t>
      </w:r>
      <w:r w:rsidRPr="004B6CD8">
        <w:rPr>
          <w:rFonts w:eastAsia="Calibri" w:cs="Times New Roman"/>
          <w:noProof/>
        </w:rPr>
        <w:t xml:space="preserve"> audits and enhance the quality assurance programme</w:t>
      </w:r>
      <w:r w:rsidR="006A5808" w:rsidRPr="004B6CD8">
        <w:rPr>
          <w:rFonts w:eastAsia="Calibri" w:cs="Times New Roman"/>
          <w:noProof/>
        </w:rPr>
        <w: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FC2817" w:rsidRPr="00FB5A04" w14:paraId="0AD4BB0D" w14:textId="77777777">
        <w:tc>
          <w:tcPr>
            <w:tcW w:w="9057" w:type="dxa"/>
          </w:tcPr>
          <w:p w14:paraId="5BEAF404" w14:textId="77777777" w:rsidR="0041531F" w:rsidRPr="004B6CD8" w:rsidRDefault="0041531F" w:rsidP="0041531F">
            <w:pPr>
              <w:pStyle w:val="boldblue"/>
            </w:pPr>
            <w:r w:rsidRPr="004B6CD8">
              <w:t>Additional information provided by DG ECFIN on the implemented measures</w:t>
            </w:r>
          </w:p>
          <w:p w14:paraId="03DD00D7" w14:textId="04CA86FD" w:rsidR="003437FE" w:rsidRPr="004B6CD8" w:rsidRDefault="003437FE" w:rsidP="003437FE">
            <w:pPr>
              <w:jc w:val="both"/>
              <w:rPr>
                <w:noProof/>
              </w:rPr>
            </w:pPr>
            <w:r w:rsidRPr="004B6CD8">
              <w:rPr>
                <w:noProof/>
              </w:rPr>
              <w:t>DG ECFIN submitted an action plan</w:t>
            </w:r>
            <w:r w:rsidR="00823F1E">
              <w:rPr>
                <w:noProof/>
              </w:rPr>
              <w:t>,</w:t>
            </w:r>
            <w:r w:rsidRPr="004B6CD8">
              <w:rPr>
                <w:noProof/>
              </w:rPr>
              <w:t xml:space="preserve"> </w:t>
            </w:r>
            <w:r w:rsidR="001B543F">
              <w:rPr>
                <w:noProof/>
              </w:rPr>
              <w:t>assessed</w:t>
            </w:r>
            <w:r w:rsidRPr="004B6CD8">
              <w:rPr>
                <w:noProof/>
              </w:rPr>
              <w:t xml:space="preserve"> </w:t>
            </w:r>
            <w:r w:rsidR="00823F1E">
              <w:rPr>
                <w:noProof/>
              </w:rPr>
              <w:t xml:space="preserve">as satisfactory </w:t>
            </w:r>
            <w:r w:rsidRPr="004B6CD8">
              <w:rPr>
                <w:noProof/>
              </w:rPr>
              <w:t xml:space="preserve">by the IAS in December 2025. All planned measures are expected to be fully completed within the agreed timeframe (end of June 2026). </w:t>
            </w:r>
          </w:p>
          <w:p w14:paraId="153419F6" w14:textId="79931AE9" w:rsidR="00FC2817" w:rsidRPr="004B6CD8" w:rsidRDefault="001B543F" w:rsidP="0049045C">
            <w:pPr>
              <w:jc w:val="both"/>
              <w:rPr>
                <w:noProof/>
              </w:rPr>
            </w:pPr>
            <w:r w:rsidRPr="002C0DBB">
              <w:rPr>
                <w:noProof/>
              </w:rPr>
              <w:t>The r</w:t>
            </w:r>
            <w:r w:rsidR="005E24D1" w:rsidRPr="002C0DBB">
              <w:rPr>
                <w:noProof/>
              </w:rPr>
              <w:t xml:space="preserve">ecommendation on reducing delays in the </w:t>
            </w:r>
            <w:r w:rsidR="005E24D1" w:rsidRPr="002C0DBB">
              <w:rPr>
                <w:i/>
                <w:iCs/>
                <w:noProof/>
              </w:rPr>
              <w:t>ex post</w:t>
            </w:r>
            <w:r w:rsidR="005E24D1" w:rsidRPr="002C0DBB">
              <w:rPr>
                <w:noProof/>
              </w:rPr>
              <w:t xml:space="preserve"> audit process and ensuring completeness of </w:t>
            </w:r>
            <w:r w:rsidRPr="002C0DBB">
              <w:rPr>
                <w:noProof/>
              </w:rPr>
              <w:t>a</w:t>
            </w:r>
            <w:r w:rsidR="005E24D1" w:rsidRPr="002C0DBB">
              <w:rPr>
                <w:noProof/>
              </w:rPr>
              <w:t xml:space="preserve">nnual </w:t>
            </w:r>
            <w:r w:rsidRPr="002C0DBB">
              <w:rPr>
                <w:noProof/>
              </w:rPr>
              <w:t>a</w:t>
            </w:r>
            <w:r w:rsidR="005E24D1" w:rsidRPr="002C0DBB">
              <w:rPr>
                <w:noProof/>
              </w:rPr>
              <w:t xml:space="preserve">ctivity </w:t>
            </w:r>
            <w:r w:rsidRPr="002C0DBB">
              <w:rPr>
                <w:noProof/>
              </w:rPr>
              <w:t>r</w:t>
            </w:r>
            <w:r w:rsidR="005E24D1" w:rsidRPr="002C0DBB">
              <w:rPr>
                <w:noProof/>
              </w:rPr>
              <w:t xml:space="preserve">eports </w:t>
            </w:r>
            <w:r w:rsidR="003437FE" w:rsidRPr="002C0DBB">
              <w:rPr>
                <w:noProof/>
              </w:rPr>
              <w:t>is being addressed and its implementation will be reflected in DG ECFIN</w:t>
            </w:r>
            <w:r w:rsidR="005E24D1" w:rsidRPr="002C0DBB">
              <w:rPr>
                <w:noProof/>
              </w:rPr>
              <w:t>’s</w:t>
            </w:r>
            <w:r w:rsidR="003437FE" w:rsidRPr="002C0DBB">
              <w:rPr>
                <w:noProof/>
              </w:rPr>
              <w:t xml:space="preserve"> </w:t>
            </w:r>
            <w:r w:rsidRPr="002C0DBB">
              <w:rPr>
                <w:noProof/>
              </w:rPr>
              <w:t>a</w:t>
            </w:r>
            <w:r w:rsidR="003437FE" w:rsidRPr="002C0DBB">
              <w:rPr>
                <w:noProof/>
              </w:rPr>
              <w:t xml:space="preserve">nnual </w:t>
            </w:r>
            <w:r w:rsidRPr="002C0DBB">
              <w:rPr>
                <w:noProof/>
              </w:rPr>
              <w:t>a</w:t>
            </w:r>
            <w:r w:rsidR="003437FE" w:rsidRPr="002C0DBB">
              <w:rPr>
                <w:noProof/>
              </w:rPr>
              <w:t xml:space="preserve">ctivity </w:t>
            </w:r>
            <w:r w:rsidRPr="002C0DBB">
              <w:rPr>
                <w:noProof/>
              </w:rPr>
              <w:t>r</w:t>
            </w:r>
            <w:r w:rsidR="003437FE" w:rsidRPr="002C0DBB">
              <w:rPr>
                <w:noProof/>
              </w:rPr>
              <w:t xml:space="preserve">eport. </w:t>
            </w:r>
            <w:r w:rsidRPr="002C0DBB">
              <w:rPr>
                <w:noProof/>
              </w:rPr>
              <w:t>The r</w:t>
            </w:r>
            <w:r w:rsidR="003437FE" w:rsidRPr="002C0DBB">
              <w:rPr>
                <w:noProof/>
              </w:rPr>
              <w:t>ecommendation</w:t>
            </w:r>
            <w:r w:rsidR="005E24D1" w:rsidRPr="002C0DBB">
              <w:rPr>
                <w:noProof/>
              </w:rPr>
              <w:t xml:space="preserve"> on clarifying the framework and standards guiding the </w:t>
            </w:r>
            <w:r w:rsidR="005E24D1" w:rsidRPr="002C0DBB">
              <w:rPr>
                <w:i/>
                <w:iCs/>
                <w:noProof/>
              </w:rPr>
              <w:t>ex post</w:t>
            </w:r>
            <w:r w:rsidR="005E24D1" w:rsidRPr="002C0DBB">
              <w:rPr>
                <w:noProof/>
              </w:rPr>
              <w:t xml:space="preserve"> audits and enhancing the quality assurance programme</w:t>
            </w:r>
            <w:r w:rsidR="003437FE" w:rsidRPr="002C0DBB">
              <w:rPr>
                <w:noProof/>
              </w:rPr>
              <w:t xml:space="preserve"> is being addressed and some evidence has already been submitted to the IAS ahead of the implementation deadline.</w:t>
            </w:r>
          </w:p>
        </w:tc>
      </w:tr>
    </w:tbl>
    <w:p w14:paraId="6DE1C3B3" w14:textId="77777777" w:rsidR="00DD14C1" w:rsidRPr="004B6CD8" w:rsidRDefault="00DD14C1">
      <w:pPr>
        <w:spacing w:before="0" w:after="160"/>
        <w:rPr>
          <w:noProof/>
          <w:lang w:val="en-GB" w:eastAsia="zh-CN"/>
        </w:rPr>
      </w:pPr>
      <w:r w:rsidRPr="004B6CD8">
        <w:rPr>
          <w:noProof/>
          <w:lang w:val="en-GB" w:eastAsia="zh-CN"/>
        </w:rPr>
        <w:br w:type="page"/>
      </w:r>
    </w:p>
    <w:p w14:paraId="67B13A56" w14:textId="1269582A" w:rsidR="00FE4016" w:rsidRPr="004B6CD8" w:rsidRDefault="009B376A" w:rsidP="00FE4016">
      <w:pPr>
        <w:pStyle w:val="amprH2Title1"/>
        <w:rPr>
          <w:noProof/>
        </w:rPr>
      </w:pPr>
      <w:bookmarkStart w:id="51" w:name="_Toc231235441"/>
      <w:bookmarkStart w:id="52" w:name="_Toc131535743"/>
      <w:bookmarkStart w:id="53" w:name="_Toc134793996"/>
      <w:bookmarkStart w:id="54" w:name="_Toc134804269"/>
      <w:bookmarkStart w:id="55" w:name="_Toc196835191"/>
      <w:bookmarkStart w:id="56" w:name="_Hlk129204838"/>
      <w:bookmarkEnd w:id="36"/>
      <w:r w:rsidRPr="004B6CD8">
        <w:rPr>
          <w:noProof/>
        </w:rPr>
        <w:t>Operational Processes</w:t>
      </w:r>
      <w:bookmarkEnd w:id="51"/>
    </w:p>
    <w:p w14:paraId="7C7BEA3D" w14:textId="5D96B6F1" w:rsidR="009B376A" w:rsidRPr="004B6CD8" w:rsidRDefault="005526F5" w:rsidP="00D74BE0">
      <w:pPr>
        <w:pStyle w:val="amprH3Title2-Numbered-11"/>
        <w:numPr>
          <w:ilvl w:val="1"/>
          <w:numId w:val="51"/>
        </w:numPr>
        <w:rPr>
          <w:noProof/>
        </w:rPr>
      </w:pPr>
      <w:bookmarkStart w:id="57" w:name="_Toc231235442"/>
      <w:bookmarkStart w:id="58" w:name="_Toc196835193"/>
      <w:bookmarkStart w:id="59" w:name="_Toc131535745"/>
      <w:bookmarkStart w:id="60" w:name="_Toc134793998"/>
      <w:bookmarkStart w:id="61" w:name="_Toc134804271"/>
      <w:bookmarkStart w:id="62" w:name="_Hlk129205713"/>
      <w:bookmarkStart w:id="63" w:name="_Toc2946462"/>
      <w:bookmarkEnd w:id="52"/>
      <w:bookmarkEnd w:id="53"/>
      <w:bookmarkEnd w:id="54"/>
      <w:bookmarkEnd w:id="55"/>
      <w:bookmarkEnd w:id="56"/>
      <w:r w:rsidRPr="004B6CD8">
        <w:rPr>
          <w:noProof/>
        </w:rPr>
        <w:t>Personnel selection process</w:t>
      </w:r>
      <w:r w:rsidR="00C0278E">
        <w:rPr>
          <w:noProof/>
        </w:rPr>
        <w:t xml:space="preserve"> (EPSO)</w:t>
      </w:r>
      <w:bookmarkEnd w:id="57"/>
    </w:p>
    <w:p w14:paraId="0F5F7E85" w14:textId="77777777" w:rsidR="005526F5" w:rsidRPr="004B6CD8" w:rsidRDefault="005526F5" w:rsidP="005526F5">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the adequacy of the governance, risk management and control processes set up by EPSO for the design of the new competition model for permanent staff.</w:t>
      </w:r>
    </w:p>
    <w:p w14:paraId="5D8569BD" w14:textId="77777777" w:rsidR="005526F5" w:rsidRPr="004B6CD8" w:rsidRDefault="005526F5" w:rsidP="005526F5">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6236650E" w14:textId="77777777" w:rsidR="005526F5" w:rsidRPr="004B6CD8" w:rsidRDefault="005526F5" w:rsidP="005526F5">
      <w:pPr>
        <w:jc w:val="both"/>
        <w:rPr>
          <w:rFonts w:cs="Times New Roman"/>
          <w:i/>
          <w:iCs/>
          <w:noProof/>
          <w:color w:val="003399" w:themeColor="text2"/>
          <w:lang w:val="en-GB"/>
        </w:rPr>
      </w:pPr>
      <w:r w:rsidRPr="004B6CD8">
        <w:rPr>
          <w:rFonts w:cs="Times New Roman"/>
          <w:i/>
          <w:iCs/>
          <w:noProof/>
          <w:color w:val="003399" w:themeColor="text2"/>
          <w:lang w:val="en-GB"/>
        </w:rPr>
        <w:t>Is the framework underlying the new competition model adequately designed to support EPSO’s mission as selection office of the EU institutions and bodies?</w:t>
      </w:r>
    </w:p>
    <w:p w14:paraId="5BCFAB6B" w14:textId="77777777" w:rsidR="005526F5" w:rsidRPr="004B6CD8" w:rsidRDefault="005526F5" w:rsidP="005526F5">
      <w:pPr>
        <w:jc w:val="both"/>
        <w:rPr>
          <w:rFonts w:eastAsia="Calibri" w:cs="Times New Roman"/>
          <w:noProof/>
          <w:kern w:val="0"/>
          <w:lang w:val="en-GB"/>
          <w14:ligatures w14:val="none"/>
        </w:rPr>
      </w:pPr>
      <w:r w:rsidRPr="004B6CD8">
        <w:rPr>
          <w:rFonts w:eastAsia="Calibri" w:cs="Times New Roman"/>
          <w:noProof/>
          <w:kern w:val="0"/>
          <w:lang w:val="en-GB"/>
          <w14:ligatures w14:val="none"/>
        </w:rPr>
        <w:t>EPSO provided evidence of a stakeholder engagement process when designing the new competition model. However, weaknesses exist in the way EPSO identifies the needs and expectations of its clients, which includes a lack of a formalised set of criteria for the prioritisation of their needs and of an effective feedback mechanism to obtain input from all stakeholders. Also, the communication process between EPSO and its clients is ad hoc and reactive, rather than structured and proactive.</w:t>
      </w:r>
    </w:p>
    <w:p w14:paraId="48EFFFD6" w14:textId="77777777" w:rsidR="005526F5" w:rsidRPr="004B6CD8" w:rsidRDefault="005526F5" w:rsidP="005526F5">
      <w:pPr>
        <w:jc w:val="both"/>
        <w:rPr>
          <w:rFonts w:eastAsia="Calibri" w:cs="Times New Roman"/>
          <w:noProof/>
          <w:kern w:val="0"/>
          <w:lang w:val="en-GB"/>
          <w14:ligatures w14:val="none"/>
        </w:rPr>
      </w:pPr>
      <w:r w:rsidRPr="004B6CD8">
        <w:rPr>
          <w:rFonts w:eastAsia="Calibri" w:cs="Times New Roman"/>
          <w:noProof/>
          <w:kern w:val="0"/>
          <w:lang w:val="en-GB"/>
          <w14:ligatures w14:val="none"/>
        </w:rPr>
        <w:t>Primarily explained by the fact that EPSO has been operating in continuous crisis mode since the suspension of the competitions in 2023, more than two years after EPSO’s Management Board decision to deploy the new competition model, EPSO has not yet adopted: (a) a roadmap, which should have been preceded by a risk assessment to identify the risks and challenges linked with the deployment; and (b) a procedure supporting the new selection process.</w:t>
      </w:r>
    </w:p>
    <w:p w14:paraId="3A369806" w14:textId="77777777" w:rsidR="005526F5" w:rsidRPr="004B6CD8" w:rsidRDefault="005526F5" w:rsidP="005526F5">
      <w:pPr>
        <w:jc w:val="both"/>
        <w:rPr>
          <w:rFonts w:eastAsia="Calibri" w:cs="Times New Roman"/>
          <w:noProof/>
          <w:kern w:val="0"/>
          <w:lang w:val="en-GB"/>
          <w14:ligatures w14:val="none"/>
        </w:rPr>
      </w:pPr>
      <w:r w:rsidRPr="004B6CD8">
        <w:rPr>
          <w:rFonts w:eastAsia="Calibri" w:cs="Times New Roman"/>
          <w:noProof/>
          <w:kern w:val="0"/>
          <w:lang w:val="en-GB"/>
          <w14:ligatures w14:val="none"/>
        </w:rPr>
        <w:t>The new organisational structure and the roles and responsibilities of the actors involved support the overall objective of the recent reorganisation of EPSO which consisted of adapting its structure to the new competition model. However, this reorganisation needs to be completed by updating some job descriptions and carrying out, in due course, an impact analysis of the new competition model on EPSO resources.</w:t>
      </w:r>
    </w:p>
    <w:p w14:paraId="5B72EB81" w14:textId="77777777" w:rsidR="005526F5" w:rsidRPr="004B6CD8" w:rsidRDefault="005526F5" w:rsidP="005526F5">
      <w:pPr>
        <w:jc w:val="both"/>
        <w:rPr>
          <w:rFonts w:eastAsia="Calibri" w:cs="Times New Roman"/>
          <w:noProof/>
          <w:kern w:val="0"/>
          <w:lang w:val="en-GB"/>
          <w14:ligatures w14:val="none"/>
        </w:rPr>
      </w:pPr>
      <w:r w:rsidRPr="004B6CD8">
        <w:rPr>
          <w:rFonts w:eastAsia="Calibri" w:cs="Times New Roman"/>
          <w:noProof/>
          <w:kern w:val="0"/>
          <w:lang w:val="en-GB"/>
          <w14:ligatures w14:val="none"/>
        </w:rPr>
        <w:t>In the past few years, EPSO has faced significant challenges as indicated above and drew some lessons from the issues experienced, particularly with the former service provider when launching the new call for tender. However, there is no evidence of a structured and comprehensive process to learn lessons from past experiences, covering other areas of EPSO's activities within the new competition model. Also, with a more forward-looking perspective and to improve efficiency in its operations, EPSO needs to prepare well and timely for the use of Artificial Intelligence.</w:t>
      </w:r>
    </w:p>
    <w:p w14:paraId="62C19F15" w14:textId="77777777" w:rsidR="005526F5" w:rsidRPr="004B6CD8" w:rsidRDefault="005526F5" w:rsidP="005526F5">
      <w:pPr>
        <w:jc w:val="both"/>
        <w:rPr>
          <w:rFonts w:cs="Times New Roman"/>
          <w:i/>
          <w:iCs/>
          <w:noProof/>
          <w:color w:val="003399" w:themeColor="text2"/>
          <w:lang w:val="en-GB"/>
        </w:rPr>
      </w:pPr>
      <w:r w:rsidRPr="004B6CD8">
        <w:rPr>
          <w:rFonts w:cs="Times New Roman"/>
          <w:i/>
          <w:iCs/>
          <w:noProof/>
          <w:color w:val="003399" w:themeColor="text2"/>
          <w:lang w:val="en-GB"/>
        </w:rPr>
        <w:t>Is the new competition model adequately designed to ensure compliance with the legal basis and achieve its objectives?</w:t>
      </w:r>
    </w:p>
    <w:p w14:paraId="3900E60F" w14:textId="77777777" w:rsidR="005526F5" w:rsidRPr="004B6CD8" w:rsidRDefault="005526F5" w:rsidP="005526F5">
      <w:pPr>
        <w:jc w:val="both"/>
        <w:rPr>
          <w:rFonts w:eastAsia="Calibri" w:cs="Times New Roman"/>
          <w:noProof/>
          <w:kern w:val="0"/>
          <w:lang w:val="en-GB"/>
          <w14:ligatures w14:val="none"/>
        </w:rPr>
      </w:pPr>
      <w:r w:rsidRPr="004B6CD8">
        <w:rPr>
          <w:rFonts w:eastAsia="Calibri" w:cs="Times New Roman"/>
          <w:noProof/>
          <w:kern w:val="0"/>
          <w:lang w:val="en-GB"/>
          <w14:ligatures w14:val="none"/>
        </w:rPr>
        <w:t>The new competition model indicated above has been designed with a view to ensuring compliance with the Staff Regulation and its implementation rules. The objectives of the main pillars of the new competition model are to have ‘faster, leaner and more accessible’ competitions. However, EPSO has not yet defined adequate indicators to measure the achievement of these objectives. As a consequence, EPSO’s monitoring of the progress towards the achievement of these objectives, once the new model is fully implemented, is not adequate and EPSO’s senior management and the members of EPSO’s Management Board do not receive reports to oversee the achievement of the objectives and the progress of individual competitions.</w:t>
      </w:r>
    </w:p>
    <w:p w14:paraId="7286A9D5" w14:textId="77777777" w:rsidR="005526F5" w:rsidRPr="004B6CD8" w:rsidRDefault="005526F5" w:rsidP="005526F5">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332E4F29" w14:textId="77777777" w:rsidR="005526F5" w:rsidRPr="004B6CD8" w:rsidRDefault="005526F5" w:rsidP="005526F5">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the governance, risk management and control processes set up by EPSO for the new competition model for permanent staff are not adequately designed.</w:t>
      </w:r>
    </w:p>
    <w:p w14:paraId="67ACC815" w14:textId="77777777" w:rsidR="00127BC0" w:rsidRDefault="00127BC0">
      <w:pPr>
        <w:spacing w:before="0" w:after="160"/>
        <w:rPr>
          <w:rFonts w:cs="Times New Roman"/>
          <w:b/>
          <w:bCs/>
          <w:noProof/>
          <w:color w:val="003399" w:themeColor="text2"/>
          <w:u w:val="single"/>
          <w:lang w:val="en-GB"/>
        </w:rPr>
      </w:pPr>
      <w:r>
        <w:rPr>
          <w:rFonts w:cs="Times New Roman"/>
          <w:b/>
          <w:bCs/>
          <w:noProof/>
          <w:color w:val="003399" w:themeColor="text2"/>
          <w:u w:val="single"/>
          <w:lang w:val="en-GB"/>
        </w:rPr>
        <w:br w:type="page"/>
      </w:r>
    </w:p>
    <w:p w14:paraId="47EEEBBC" w14:textId="6F108435"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0B1E3C3E" w14:textId="14369F8A" w:rsidR="009B376A" w:rsidRPr="004B6CD8" w:rsidRDefault="001771BF" w:rsidP="009B376A">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1, o</w:t>
      </w:r>
      <w:r w:rsidR="009B376A" w:rsidRPr="004B6CD8">
        <w:rPr>
          <w:rFonts w:eastAsia="Calibri" w:cs="Times New Roman"/>
          <w:noProof/>
          <w:kern w:val="0"/>
          <w:lang w:val="en-GB"/>
          <w14:ligatures w14:val="none"/>
        </w:rPr>
        <w:t xml:space="preserve">n </w:t>
      </w:r>
      <w:r w:rsidR="00B62180">
        <w:rPr>
          <w:rFonts w:eastAsia="Calibri" w:cs="Times New Roman"/>
          <w:noProof/>
          <w:kern w:val="0"/>
          <w:lang w:val="en-GB"/>
          <w14:ligatures w14:val="none"/>
        </w:rPr>
        <w:t xml:space="preserve">the </w:t>
      </w:r>
      <w:r w:rsidR="005526F5" w:rsidRPr="004B6CD8">
        <w:rPr>
          <w:rFonts w:eastAsia="Calibri" w:cs="Times New Roman"/>
          <w:b/>
          <w:bCs/>
          <w:noProof/>
          <w:color w:val="003399" w:themeColor="text2"/>
          <w:kern w:val="0"/>
          <w:lang w:val="en-GB"/>
          <w14:ligatures w14:val="none"/>
        </w:rPr>
        <w:t>management of clients’ needs and communication aspects</w:t>
      </w:r>
      <w:r w:rsidR="009B376A" w:rsidRPr="004B6CD8">
        <w:rPr>
          <w:rFonts w:eastAsia="Calibri" w:cs="Times New Roman"/>
          <w:noProof/>
          <w:kern w:val="0"/>
          <w:lang w:val="en-GB"/>
          <w14:ligatures w14:val="none"/>
        </w:rPr>
        <w:t xml:space="preserve">, </w:t>
      </w:r>
      <w:r w:rsidR="005526F5" w:rsidRPr="00E3411F">
        <w:rPr>
          <w:rFonts w:eastAsia="Calibri" w:cs="Times New Roman"/>
          <w:b/>
          <w:noProof/>
          <w:color w:val="003399" w:themeColor="text2"/>
          <w:kern w:val="0"/>
          <w:lang w:val="en-IE"/>
          <w14:ligatures w14:val="none"/>
        </w:rPr>
        <w:t>EPSO</w:t>
      </w:r>
      <w:r w:rsidR="009B376A" w:rsidRPr="004B6CD8">
        <w:rPr>
          <w:rFonts w:eastAsia="Calibri" w:cs="Times New Roman"/>
          <w:noProof/>
          <w:color w:val="003399" w:themeColor="text2"/>
          <w:kern w:val="0"/>
          <w:lang w:val="en-GB"/>
          <w14:ligatures w14:val="none"/>
        </w:rPr>
        <w:t xml:space="preserve"> </w:t>
      </w:r>
      <w:r w:rsidR="009B376A" w:rsidRPr="004B6CD8">
        <w:rPr>
          <w:rFonts w:eastAsia="Calibri" w:cs="Times New Roman"/>
          <w:noProof/>
          <w:kern w:val="0"/>
          <w:lang w:val="en-GB"/>
          <w14:ligatures w14:val="none"/>
        </w:rPr>
        <w:t>should:</w:t>
      </w:r>
    </w:p>
    <w:p w14:paraId="514B7005" w14:textId="788CE1AB" w:rsidR="009B376A" w:rsidRPr="004B6CD8" w:rsidRDefault="005526F5" w:rsidP="005526F5">
      <w:pPr>
        <w:pStyle w:val="amprLISTtealbullets-L1"/>
        <w:rPr>
          <w:rFonts w:eastAsia="Calibri" w:cs="Times New Roman"/>
          <w:noProof/>
        </w:rPr>
      </w:pPr>
      <w:r w:rsidRPr="004B6CD8">
        <w:rPr>
          <w:rFonts w:eastAsia="Calibri" w:cs="Times New Roman"/>
          <w:noProof/>
        </w:rPr>
        <w:t>manage clients’ needs and communication aspects</w:t>
      </w:r>
      <w:r w:rsidR="009B376A" w:rsidRPr="004B6CD8">
        <w:rPr>
          <w:rFonts w:eastAsia="Calibri" w:cs="Times New Roman"/>
          <w:noProof/>
        </w:rPr>
        <w:t>.</w:t>
      </w:r>
    </w:p>
    <w:p w14:paraId="77E76C33" w14:textId="0E933180" w:rsidR="005526F5" w:rsidRPr="004B6CD8" w:rsidRDefault="001771BF" w:rsidP="005526F5">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2, o</w:t>
      </w:r>
      <w:r w:rsidR="005526F5" w:rsidRPr="004B6CD8">
        <w:rPr>
          <w:rFonts w:eastAsia="Calibri" w:cs="Times New Roman"/>
          <w:noProof/>
          <w:kern w:val="0"/>
          <w:lang w:val="en-GB"/>
          <w14:ligatures w14:val="none"/>
        </w:rPr>
        <w:t xml:space="preserve">n </w:t>
      </w:r>
      <w:r w:rsidR="00B62180">
        <w:rPr>
          <w:rFonts w:eastAsia="Calibri" w:cs="Times New Roman"/>
          <w:noProof/>
          <w:kern w:val="0"/>
          <w:lang w:val="en-GB"/>
          <w14:ligatures w14:val="none"/>
        </w:rPr>
        <w:t xml:space="preserve">the </w:t>
      </w:r>
      <w:r w:rsidR="005526F5" w:rsidRPr="004B6CD8">
        <w:rPr>
          <w:rFonts w:eastAsia="Calibri" w:cs="Times New Roman"/>
          <w:b/>
          <w:bCs/>
          <w:noProof/>
          <w:color w:val="003399" w:themeColor="text2"/>
          <w:kern w:val="0"/>
          <w:lang w:val="en-GB"/>
          <w14:ligatures w14:val="none"/>
        </w:rPr>
        <w:t>roadmap for the deployment of the new competition model and procedure for the selection process</w:t>
      </w:r>
      <w:r w:rsidR="005526F5" w:rsidRPr="004B6CD8">
        <w:rPr>
          <w:rFonts w:eastAsia="Calibri" w:cs="Times New Roman"/>
          <w:noProof/>
          <w:kern w:val="0"/>
          <w:lang w:val="en-GB"/>
          <w14:ligatures w14:val="none"/>
        </w:rPr>
        <w:t xml:space="preserve">, </w:t>
      </w:r>
      <w:r w:rsidR="005526F5" w:rsidRPr="00E3411F">
        <w:rPr>
          <w:rFonts w:eastAsia="Calibri" w:cs="Times New Roman"/>
          <w:b/>
          <w:noProof/>
          <w:color w:val="003399" w:themeColor="text2"/>
          <w:kern w:val="0"/>
          <w:lang w:val="en-IE"/>
          <w14:ligatures w14:val="none"/>
        </w:rPr>
        <w:t>EPSO</w:t>
      </w:r>
      <w:r w:rsidR="005526F5" w:rsidRPr="004B6CD8">
        <w:rPr>
          <w:rFonts w:eastAsia="Calibri" w:cs="Times New Roman"/>
          <w:noProof/>
          <w:color w:val="003399" w:themeColor="text2"/>
          <w:kern w:val="0"/>
          <w:lang w:val="en-GB"/>
          <w14:ligatures w14:val="none"/>
        </w:rPr>
        <w:t xml:space="preserve"> </w:t>
      </w:r>
      <w:r w:rsidR="005526F5" w:rsidRPr="004B6CD8">
        <w:rPr>
          <w:rFonts w:eastAsia="Calibri" w:cs="Times New Roman"/>
          <w:noProof/>
          <w:kern w:val="0"/>
          <w:lang w:val="en-GB"/>
          <w14:ligatures w14:val="none"/>
        </w:rPr>
        <w:t>should:</w:t>
      </w:r>
    </w:p>
    <w:p w14:paraId="042ECE60" w14:textId="507FDC04" w:rsidR="005526F5" w:rsidRPr="004B6CD8" w:rsidRDefault="005526F5" w:rsidP="005526F5">
      <w:pPr>
        <w:pStyle w:val="amprLISTtealbullets-L1"/>
        <w:rPr>
          <w:rFonts w:eastAsia="Calibri" w:cs="Times New Roman"/>
          <w:noProof/>
        </w:rPr>
      </w:pPr>
      <w:r w:rsidRPr="004B6CD8">
        <w:rPr>
          <w:rFonts w:eastAsia="Calibri" w:cs="Times New Roman"/>
          <w:noProof/>
        </w:rPr>
        <w:t>set-up a roadmap and a procedure and carry out an impact analysis of the new competition model.</w:t>
      </w:r>
    </w:p>
    <w:p w14:paraId="12AFF771" w14:textId="3FDEB01A" w:rsidR="005526F5" w:rsidRPr="004B6CD8" w:rsidRDefault="001771BF" w:rsidP="005526F5">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3, o</w:t>
      </w:r>
      <w:r w:rsidR="005526F5" w:rsidRPr="004B6CD8">
        <w:rPr>
          <w:rFonts w:eastAsia="Calibri" w:cs="Times New Roman"/>
          <w:noProof/>
          <w:kern w:val="0"/>
          <w:lang w:val="en-GB"/>
          <w14:ligatures w14:val="none"/>
        </w:rPr>
        <w:t xml:space="preserve">n </w:t>
      </w:r>
      <w:r w:rsidR="00B62180">
        <w:rPr>
          <w:rFonts w:eastAsia="Calibri" w:cs="Times New Roman"/>
          <w:noProof/>
          <w:kern w:val="0"/>
          <w:lang w:val="en-GB"/>
          <w14:ligatures w14:val="none"/>
        </w:rPr>
        <w:t xml:space="preserve">the </w:t>
      </w:r>
      <w:r w:rsidR="005526F5" w:rsidRPr="004B6CD8">
        <w:rPr>
          <w:rFonts w:eastAsia="Calibri" w:cs="Times New Roman"/>
          <w:b/>
          <w:bCs/>
          <w:noProof/>
          <w:color w:val="003399" w:themeColor="text2"/>
          <w:kern w:val="0"/>
          <w:lang w:val="en-GB"/>
          <w14:ligatures w14:val="none"/>
        </w:rPr>
        <w:t>objectives of the new competition model – indicators and monitoring</w:t>
      </w:r>
      <w:r w:rsidR="005526F5" w:rsidRPr="004B6CD8">
        <w:rPr>
          <w:rFonts w:eastAsia="Calibri" w:cs="Times New Roman"/>
          <w:noProof/>
          <w:kern w:val="0"/>
          <w:lang w:val="en-GB"/>
          <w14:ligatures w14:val="none"/>
        </w:rPr>
        <w:t xml:space="preserve">, </w:t>
      </w:r>
      <w:r w:rsidR="005526F5" w:rsidRPr="00E3411F">
        <w:rPr>
          <w:rFonts w:eastAsia="Calibri" w:cs="Times New Roman"/>
          <w:b/>
          <w:noProof/>
          <w:color w:val="003399" w:themeColor="text2"/>
          <w:kern w:val="0"/>
          <w:lang w:val="en-IE"/>
          <w14:ligatures w14:val="none"/>
        </w:rPr>
        <w:t>EPSO</w:t>
      </w:r>
      <w:r w:rsidR="005526F5" w:rsidRPr="004B6CD8">
        <w:rPr>
          <w:rFonts w:eastAsia="Calibri" w:cs="Times New Roman"/>
          <w:noProof/>
          <w:color w:val="003399" w:themeColor="text2"/>
          <w:kern w:val="0"/>
          <w:lang w:val="en-GB"/>
          <w14:ligatures w14:val="none"/>
        </w:rPr>
        <w:t xml:space="preserve"> </w:t>
      </w:r>
      <w:r w:rsidR="005526F5" w:rsidRPr="004B6CD8">
        <w:rPr>
          <w:rFonts w:eastAsia="Calibri" w:cs="Times New Roman"/>
          <w:noProof/>
          <w:kern w:val="0"/>
          <w:lang w:val="en-GB"/>
          <w14:ligatures w14:val="none"/>
        </w:rPr>
        <w:t>should:</w:t>
      </w:r>
    </w:p>
    <w:p w14:paraId="03B4773B" w14:textId="7730BBB3" w:rsidR="005526F5" w:rsidRPr="004B6CD8" w:rsidRDefault="005526F5" w:rsidP="005526F5">
      <w:pPr>
        <w:pStyle w:val="amprLISTtealbullets-L1"/>
        <w:rPr>
          <w:rFonts w:eastAsia="Calibri" w:cs="Times New Roman"/>
          <w:noProof/>
        </w:rPr>
      </w:pPr>
      <w:r w:rsidRPr="004B6CD8">
        <w:rPr>
          <w:rFonts w:eastAsia="Calibri" w:cs="Times New Roman"/>
          <w:noProof/>
        </w:rPr>
        <w:t>define key performance indicators and monitor the achievement of objectives of the new competition model.</w:t>
      </w:r>
    </w:p>
    <w:p w14:paraId="72CA62FB" w14:textId="5D169C8D" w:rsidR="005526F5" w:rsidRPr="004B6CD8" w:rsidRDefault="001771BF" w:rsidP="005526F5">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5, o</w:t>
      </w:r>
      <w:r w:rsidR="005526F5" w:rsidRPr="004B6CD8">
        <w:rPr>
          <w:rFonts w:eastAsia="Calibri" w:cs="Times New Roman"/>
          <w:noProof/>
          <w:kern w:val="0"/>
          <w:lang w:val="en-GB"/>
          <w14:ligatures w14:val="none"/>
        </w:rPr>
        <w:t xml:space="preserve">n </w:t>
      </w:r>
      <w:r w:rsidR="005526F5" w:rsidRPr="004B6CD8">
        <w:rPr>
          <w:rFonts w:eastAsia="Calibri" w:cs="Times New Roman"/>
          <w:b/>
          <w:bCs/>
          <w:noProof/>
          <w:color w:val="003399" w:themeColor="text2"/>
          <w:kern w:val="0"/>
          <w:lang w:val="en-GB"/>
          <w14:ligatures w14:val="none"/>
        </w:rPr>
        <w:t>lessons learnt</w:t>
      </w:r>
      <w:r w:rsidR="005526F5" w:rsidRPr="004B6CD8">
        <w:rPr>
          <w:rFonts w:eastAsia="Calibri" w:cs="Times New Roman"/>
          <w:noProof/>
          <w:kern w:val="0"/>
          <w:lang w:val="en-GB"/>
          <w14:ligatures w14:val="none"/>
        </w:rPr>
        <w:t xml:space="preserve">, </w:t>
      </w:r>
      <w:r w:rsidR="005526F5" w:rsidRPr="00E3411F">
        <w:rPr>
          <w:rFonts w:eastAsia="Calibri" w:cs="Times New Roman"/>
          <w:b/>
          <w:noProof/>
          <w:color w:val="003399" w:themeColor="text2"/>
          <w:kern w:val="0"/>
          <w:lang w:val="en-IE"/>
          <w14:ligatures w14:val="none"/>
        </w:rPr>
        <w:t>EPSO</w:t>
      </w:r>
      <w:r w:rsidR="005526F5" w:rsidRPr="004B6CD8">
        <w:rPr>
          <w:rFonts w:eastAsia="Calibri" w:cs="Times New Roman"/>
          <w:noProof/>
          <w:color w:val="003399" w:themeColor="text2"/>
          <w:kern w:val="0"/>
          <w:lang w:val="en-GB"/>
          <w14:ligatures w14:val="none"/>
        </w:rPr>
        <w:t xml:space="preserve"> </w:t>
      </w:r>
      <w:r w:rsidR="005526F5" w:rsidRPr="004B6CD8">
        <w:rPr>
          <w:rFonts w:eastAsia="Calibri" w:cs="Times New Roman"/>
          <w:noProof/>
          <w:kern w:val="0"/>
          <w:lang w:val="en-GB"/>
          <w14:ligatures w14:val="none"/>
        </w:rPr>
        <w:t>should:</w:t>
      </w:r>
    </w:p>
    <w:p w14:paraId="29FD5D0C" w14:textId="76827EF1" w:rsidR="005526F5" w:rsidRPr="004B6CD8" w:rsidRDefault="005526F5" w:rsidP="001B543F">
      <w:pPr>
        <w:pStyle w:val="amprLISTtealbullets-L1"/>
        <w:spacing w:after="240"/>
        <w:ind w:left="782" w:hanging="357"/>
        <w:rPr>
          <w:rFonts w:eastAsia="Calibri" w:cs="Times New Roman"/>
          <w:noProof/>
        </w:rPr>
      </w:pPr>
      <w:r w:rsidRPr="004B6CD8">
        <w:rPr>
          <w:rFonts w:eastAsia="Calibri" w:cs="Times New Roman"/>
          <w:noProof/>
        </w:rPr>
        <w:t>analyse lessons learnt.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9B376A" w:rsidRPr="007F05B2" w14:paraId="2930C364" w14:textId="77777777">
        <w:tc>
          <w:tcPr>
            <w:tcW w:w="9057" w:type="dxa"/>
          </w:tcPr>
          <w:p w14:paraId="4139D78A" w14:textId="77777777" w:rsidR="005526F5" w:rsidRPr="004B6CD8" w:rsidRDefault="005526F5" w:rsidP="005526F5">
            <w:pPr>
              <w:pStyle w:val="boldblue"/>
            </w:pPr>
            <w:r w:rsidRPr="004B6CD8">
              <w:t>Additional information provided by EPSO on the implemented measures</w:t>
            </w:r>
          </w:p>
          <w:p w14:paraId="0BF1E305" w14:textId="37601F2C" w:rsidR="003437FE" w:rsidRPr="004B6CD8" w:rsidRDefault="00F15D6E" w:rsidP="003437FE">
            <w:pPr>
              <w:jc w:val="both"/>
              <w:rPr>
                <w:noProof/>
              </w:rPr>
            </w:pPr>
            <w:r>
              <w:rPr>
                <w:noProof/>
              </w:rPr>
              <w:t xml:space="preserve">EPSO </w:t>
            </w:r>
            <w:r w:rsidRPr="004B6CD8">
              <w:rPr>
                <w:noProof/>
              </w:rPr>
              <w:t xml:space="preserve">established </w:t>
            </w:r>
            <w:r>
              <w:rPr>
                <w:noProof/>
              </w:rPr>
              <w:t>a</w:t>
            </w:r>
            <w:r w:rsidR="003437FE" w:rsidRPr="004B6CD8">
              <w:rPr>
                <w:noProof/>
              </w:rPr>
              <w:t xml:space="preserve">n action plan </w:t>
            </w:r>
            <w:r w:rsidR="004A37A7">
              <w:rPr>
                <w:noProof/>
              </w:rPr>
              <w:t xml:space="preserve">to address </w:t>
            </w:r>
            <w:r w:rsidR="003437FE" w:rsidRPr="004B6CD8">
              <w:rPr>
                <w:noProof/>
              </w:rPr>
              <w:t xml:space="preserve">all audit findings, considered </w:t>
            </w:r>
            <w:r>
              <w:rPr>
                <w:noProof/>
              </w:rPr>
              <w:t xml:space="preserve">as </w:t>
            </w:r>
            <w:r w:rsidR="003437FE" w:rsidRPr="004B6CD8">
              <w:rPr>
                <w:noProof/>
              </w:rPr>
              <w:t xml:space="preserve">satisfactory by the IAS. </w:t>
            </w:r>
          </w:p>
          <w:p w14:paraId="0958A7F9" w14:textId="10357CCC" w:rsidR="0042190F" w:rsidRPr="004B6CD8" w:rsidRDefault="003437FE" w:rsidP="0042190F">
            <w:pPr>
              <w:jc w:val="both"/>
              <w:rPr>
                <w:noProof/>
              </w:rPr>
            </w:pPr>
            <w:r w:rsidRPr="004B6CD8">
              <w:rPr>
                <w:noProof/>
              </w:rPr>
              <w:t xml:space="preserve">All planned measures are expected to be fully completed within the agreed timelines. Progress has been achieved with key actions in their advanced stage or close to completion. Notably, the roadmap to analyse and monitor the new competition model is well </w:t>
            </w:r>
            <w:r w:rsidR="0042190F" w:rsidRPr="004B6CD8">
              <w:rPr>
                <w:noProof/>
              </w:rPr>
              <w:t>advanced.</w:t>
            </w:r>
            <w:r w:rsidR="0042190F">
              <w:rPr>
                <w:noProof/>
              </w:rPr>
              <w:t xml:space="preserve"> </w:t>
            </w:r>
          </w:p>
        </w:tc>
      </w:tr>
    </w:tbl>
    <w:p w14:paraId="669C45AD" w14:textId="5E624D1E" w:rsidR="009B376A" w:rsidRPr="004B6CD8" w:rsidRDefault="006803DD" w:rsidP="00D74BE0">
      <w:pPr>
        <w:pStyle w:val="amprH3Title2-Numbered-11"/>
        <w:numPr>
          <w:ilvl w:val="1"/>
          <w:numId w:val="51"/>
        </w:numPr>
        <w:rPr>
          <w:noProof/>
        </w:rPr>
      </w:pPr>
      <w:bookmarkStart w:id="64" w:name="_Toc231235443"/>
      <w:r w:rsidRPr="004B6CD8">
        <w:rPr>
          <w:noProof/>
        </w:rPr>
        <w:t>Management of childcare services</w:t>
      </w:r>
      <w:r w:rsidR="00C0278E">
        <w:rPr>
          <w:noProof/>
        </w:rPr>
        <w:t xml:space="preserve"> (OIB, OIL)</w:t>
      </w:r>
      <w:bookmarkEnd w:id="64"/>
    </w:p>
    <w:p w14:paraId="4BF778D3" w14:textId="702D9C76"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The objective of the audit was to assess the adequacy of the design of the framework and the adequacy of the design and the effective implementation of the control system (including IT controls over eKidWeb) put in place by OIB and OIL for the management of the childcare services.</w:t>
      </w:r>
    </w:p>
    <w:p w14:paraId="6FE31296" w14:textId="77777777" w:rsidR="006803DD" w:rsidRPr="004B6CD8" w:rsidRDefault="006803DD" w:rsidP="006803DD">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754CFFD2" w14:textId="77777777" w:rsidR="006803DD" w:rsidRPr="004B6CD8" w:rsidRDefault="006803DD" w:rsidP="006803DD">
      <w:pPr>
        <w:jc w:val="both"/>
        <w:rPr>
          <w:rFonts w:cs="Times New Roman"/>
          <w:i/>
          <w:iCs/>
          <w:noProof/>
          <w:color w:val="003399" w:themeColor="text2"/>
          <w:lang w:val="en-GB"/>
        </w:rPr>
      </w:pPr>
      <w:r w:rsidRPr="004B6CD8">
        <w:rPr>
          <w:rFonts w:cs="Times New Roman"/>
          <w:i/>
          <w:iCs/>
          <w:noProof/>
          <w:color w:val="003399" w:themeColor="text2"/>
          <w:lang w:val="en-GB"/>
        </w:rPr>
        <w:t>Have OIB and OIL designed an adequate framework for the provision of childcare services?</w:t>
      </w:r>
    </w:p>
    <w:p w14:paraId="25FF1AE5"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OIB and OIL have established a set of operational/working procedures to regulate certain aspects of their daily operations and management of childcare services. However, the IAS noted that the legal basis for the provision of the childcare services is outdated. Additionally, there is a misalignment between the legal basis on OIL’s shared role and responsibilities with the European Parliament, and there is also no formal agreement with them for managing childcare services.</w:t>
      </w:r>
    </w:p>
    <w:p w14:paraId="46B7838E" w14:textId="76AC77F9"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Regarding OIB, the IAS also notes that the large size of the operational units of the childcare services may hinder effective control. Additionally, while OIB has a good practice of cooperation with one of the organisations specialised in the field of childcare from which it receives additional assurance on the quality of the services provided by the external partners, a comprehensive comparative analysis of the potential benefits and drawbacks of the delivery model with external partners as opposed to the services managed internally is lacking.</w:t>
      </w:r>
    </w:p>
    <w:p w14:paraId="093EB98D"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Furthermore, some oversight committees’ legal basis are outdated and there are no effective measures to ensure rotation of members or prevention of conflicts of interests. </w:t>
      </w:r>
    </w:p>
    <w:p w14:paraId="46611D54"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Finally, there are no agreements between OIB and the Parents Associations of the European Schools to clarify their respective roles and responsibilities regarding children's safety and security and the Offices do not have a complete set of Service Level Agreements with all their clients to define their respective rights and obligations regarding the provision of childcare services.</w:t>
      </w:r>
    </w:p>
    <w:p w14:paraId="16AF07D2" w14:textId="77777777" w:rsidR="006803DD" w:rsidRPr="004B6CD8" w:rsidRDefault="006803DD" w:rsidP="006803DD">
      <w:pPr>
        <w:jc w:val="both"/>
        <w:rPr>
          <w:rFonts w:cs="Times New Roman"/>
          <w:i/>
          <w:iCs/>
          <w:noProof/>
          <w:color w:val="003399" w:themeColor="text2"/>
          <w:lang w:val="en-GB"/>
        </w:rPr>
      </w:pPr>
      <w:r w:rsidRPr="004B6CD8">
        <w:rPr>
          <w:rFonts w:cs="Times New Roman"/>
          <w:i/>
          <w:iCs/>
          <w:noProof/>
          <w:color w:val="003399" w:themeColor="text2"/>
          <w:lang w:val="en-GB"/>
        </w:rPr>
        <w:t>Have OIB and OIL adequately designed and effectively implemented a control system for the management of the childcare services?</w:t>
      </w:r>
    </w:p>
    <w:p w14:paraId="53CBB0C5"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found that both Offices have established strong educational and operational aspects of childcare services, including pedagogical policies, performance metrics and adequate training of the pedagogical staff, as well as an adequate system to monitor the quality and receive feedback from clients and staff on the childcare services, resulting in high satisfaction rate.</w:t>
      </w:r>
    </w:p>
    <w:p w14:paraId="48495939"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However, the IAS identified issues in the financial aspects related to the interinstitutional budgeting and for the cost allocating processes, an outdated and undocumented methodology for establishing and allocating costs and undocumented justification of the different scales of the parental contributions for afterschool childcare in Brussels and Luxembourg.</w:t>
      </w:r>
    </w:p>
    <w:p w14:paraId="40F0A983" w14:textId="77777777" w:rsidR="006803DD" w:rsidRPr="004B6CD8" w:rsidRDefault="006803DD" w:rsidP="006803DD">
      <w:pPr>
        <w:jc w:val="both"/>
        <w:rPr>
          <w:rFonts w:cs="Times New Roman"/>
          <w:i/>
          <w:iCs/>
          <w:noProof/>
          <w:color w:val="003399" w:themeColor="text2"/>
          <w:lang w:val="en-GB"/>
        </w:rPr>
      </w:pPr>
      <w:r w:rsidRPr="004B6CD8">
        <w:rPr>
          <w:rFonts w:cs="Times New Roman"/>
          <w:i/>
          <w:iCs/>
          <w:noProof/>
          <w:color w:val="003399" w:themeColor="text2"/>
          <w:lang w:val="en-GB"/>
        </w:rPr>
        <w:t>Has OIB designed adequate controls on the project management and IT security of the IT application (eKidWeb) used by OIB and OIL to support the provision of childcare services?</w:t>
      </w:r>
    </w:p>
    <w:p w14:paraId="6BA3DD34"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acknowledges the efforts made by OIB and OIL to migrate and implement an IT application (eKidWeb) to support the provision of the childcare services but notes several issues related to project management, and the IT security controls of eKidWeb. The IAS found that the project management and change management processes are not sufficiently detailed and are not fully aligned with established procedures. Additionally, OIB does not comply with IT security standards (e.g. use of production data, access management process). The IAS also identified weaknesses in logging and monitoring, management of sensitive information, and risk management.</w:t>
      </w:r>
    </w:p>
    <w:p w14:paraId="086A1333" w14:textId="77777777" w:rsidR="006803DD" w:rsidRPr="004B6CD8" w:rsidRDefault="006803DD" w:rsidP="006803DD">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686F3004"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while the Offices have overall designed an adequate framework and control system for the management of childcare services, there remain three very important issues in the implementation of the control system concerning: (a) the roles and responsibilities of the oversight committees and external actors involved; (b) the establishment of the interinstitutional budget and allocation of costs and calculation of parental and institutional contributions; and (c) IT controls on project management and IT security of eKidWeb.</w:t>
      </w:r>
    </w:p>
    <w:p w14:paraId="123A8BD5" w14:textId="6332B6E5"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557E919B" w14:textId="68097CF0" w:rsidR="00F2043E" w:rsidRDefault="001771BF" w:rsidP="009B376A">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5 and 6, o</w:t>
      </w:r>
      <w:r w:rsidR="009B376A" w:rsidRPr="004B6CD8">
        <w:rPr>
          <w:rFonts w:eastAsia="Calibri" w:cs="Times New Roman"/>
          <w:noProof/>
          <w:kern w:val="0"/>
          <w:lang w:val="en-GB"/>
          <w14:ligatures w14:val="none"/>
        </w:rPr>
        <w:t xml:space="preserve">n </w:t>
      </w:r>
      <w:r w:rsidR="00B62180">
        <w:rPr>
          <w:rFonts w:eastAsia="Calibri" w:cs="Times New Roman"/>
          <w:noProof/>
          <w:kern w:val="0"/>
          <w:lang w:val="en-GB"/>
          <w14:ligatures w14:val="none"/>
        </w:rPr>
        <w:t xml:space="preserve">the </w:t>
      </w:r>
      <w:r w:rsidR="009B376A" w:rsidRPr="004B6CD8">
        <w:rPr>
          <w:rFonts w:eastAsia="Calibri" w:cs="Times New Roman"/>
          <w:b/>
          <w:bCs/>
          <w:noProof/>
          <w:color w:val="003399" w:themeColor="text2"/>
          <w:kern w:val="0"/>
          <w:lang w:val="en-GB"/>
          <w14:ligatures w14:val="none"/>
        </w:rPr>
        <w:t>r</w:t>
      </w:r>
      <w:r w:rsidR="006803DD" w:rsidRPr="004B6CD8">
        <w:rPr>
          <w:rFonts w:eastAsia="Calibri" w:cs="Times New Roman"/>
          <w:b/>
          <w:bCs/>
          <w:noProof/>
          <w:color w:val="003399" w:themeColor="text2"/>
          <w:kern w:val="0"/>
          <w:lang w:val="en-GB"/>
          <w14:ligatures w14:val="none"/>
        </w:rPr>
        <w:t>oles and responsibilities of the external actors and oversight committees involved in the provision/supervision of childcare services</w:t>
      </w:r>
      <w:r w:rsidR="009B376A" w:rsidRPr="004B6CD8">
        <w:rPr>
          <w:rFonts w:eastAsia="Calibri" w:cs="Times New Roman"/>
          <w:noProof/>
          <w:kern w:val="0"/>
          <w:lang w:val="en-GB"/>
          <w14:ligatures w14:val="none"/>
        </w:rPr>
        <w:t>,</w:t>
      </w:r>
      <w:r w:rsidR="006224C1" w:rsidRPr="006224C1">
        <w:rPr>
          <w:rFonts w:eastAsia="Calibri" w:cs="Times New Roman"/>
          <w:b/>
          <w:bCs/>
          <w:noProof/>
          <w:color w:val="003399" w:themeColor="text2"/>
          <w:lang w:val="en-IE"/>
        </w:rPr>
        <w:t xml:space="preserve"> OIB and OIL</w:t>
      </w:r>
      <w:r w:rsidR="006224C1" w:rsidRPr="006224C1">
        <w:rPr>
          <w:rFonts w:eastAsia="Calibri"/>
          <w:noProof/>
          <w:lang w:val="en-IE"/>
        </w:rPr>
        <w:t xml:space="preserve"> should</w:t>
      </w:r>
      <w:r w:rsidR="006224C1">
        <w:rPr>
          <w:rFonts w:eastAsia="Calibri"/>
          <w:noProof/>
          <w:lang w:val="en-IE"/>
        </w:rPr>
        <w:t>:</w:t>
      </w:r>
    </w:p>
    <w:p w14:paraId="0B21B006" w14:textId="67782249" w:rsidR="009B376A" w:rsidRPr="00F2043E" w:rsidRDefault="006803DD" w:rsidP="009B376A">
      <w:pPr>
        <w:pStyle w:val="amprLISTtealbullets-L1"/>
        <w:rPr>
          <w:rFonts w:eastAsia="Calibri" w:cs="Times New Roman"/>
          <w:noProof/>
        </w:rPr>
      </w:pPr>
      <w:r w:rsidRPr="00F2043E">
        <w:rPr>
          <w:rFonts w:eastAsia="Calibri" w:cs="Times New Roman"/>
          <w:noProof/>
        </w:rPr>
        <w:t>revise the legal basis of oversight committees, clarify the role of the Parents Associations of the European Schools and ensure a comprehensive overview of all the agreements with clients</w:t>
      </w:r>
      <w:r w:rsidR="006A5808" w:rsidRPr="00F2043E">
        <w:rPr>
          <w:rFonts w:eastAsia="Calibri" w:cs="Times New Roman"/>
          <w:noProof/>
        </w:rPr>
        <w:t>.</w:t>
      </w:r>
    </w:p>
    <w:p w14:paraId="24DFB61E" w14:textId="6171D09E" w:rsidR="009B376A" w:rsidRPr="004B6CD8" w:rsidRDefault="001771BF" w:rsidP="009B376A">
      <w:pPr>
        <w:jc w:val="both"/>
        <w:rPr>
          <w:rFonts w:eastAsia="Calibri" w:cs="Times New Roman"/>
          <w:noProof/>
          <w:kern w:val="0"/>
          <w:lang w:val="en-GB"/>
          <w14:ligatures w14:val="none"/>
        </w:rPr>
      </w:pPr>
      <w:r>
        <w:rPr>
          <w:rFonts w:eastAsia="Calibri" w:cs="Times New Roman"/>
          <w:noProof/>
          <w:lang w:val="en-GB"/>
        </w:rPr>
        <w:t xml:space="preserve">Recommendation No </w:t>
      </w:r>
      <w:r w:rsidR="00B62180">
        <w:rPr>
          <w:rFonts w:eastAsia="Calibri" w:cs="Times New Roman"/>
          <w:noProof/>
          <w:lang w:val="en-GB"/>
        </w:rPr>
        <w:t>7 and 8, o</w:t>
      </w:r>
      <w:r w:rsidR="009B376A" w:rsidRPr="004B6CD8">
        <w:rPr>
          <w:rFonts w:eastAsia="Calibri" w:cs="Times New Roman"/>
          <w:noProof/>
          <w:lang w:val="en-GB"/>
        </w:rPr>
        <w:t xml:space="preserve">n </w:t>
      </w:r>
      <w:r w:rsidR="00B62180">
        <w:rPr>
          <w:rFonts w:eastAsia="Calibri" w:cs="Times New Roman"/>
          <w:noProof/>
          <w:lang w:val="en-GB"/>
        </w:rPr>
        <w:t xml:space="preserve">the </w:t>
      </w:r>
      <w:r w:rsidR="006803DD" w:rsidRPr="004B6CD8">
        <w:rPr>
          <w:rFonts w:eastAsia="Calibri" w:cs="Times New Roman"/>
          <w:b/>
          <w:bCs/>
          <w:noProof/>
          <w:color w:val="003399" w:themeColor="text2"/>
          <w:kern w:val="0"/>
          <w:lang w:val="en-GB"/>
          <w14:ligatures w14:val="none"/>
        </w:rPr>
        <w:t>budget of the Childcare centre / Centre-polyvalent d’enfance and cost allocation, including institutional and parental contributions</w:t>
      </w:r>
      <w:r w:rsidR="009B376A" w:rsidRPr="004B6CD8">
        <w:rPr>
          <w:rFonts w:eastAsia="Calibri" w:cs="Times New Roman"/>
          <w:b/>
          <w:bCs/>
          <w:noProof/>
          <w:color w:val="003399" w:themeColor="text2"/>
          <w:kern w:val="0"/>
          <w:lang w:val="en-GB"/>
          <w14:ligatures w14:val="none"/>
        </w:rPr>
        <w:t>,</w:t>
      </w:r>
      <w:r w:rsidR="009B376A" w:rsidRPr="004B6CD8">
        <w:rPr>
          <w:rFonts w:eastAsia="Calibri" w:cs="Times New Roman"/>
          <w:noProof/>
          <w:kern w:val="0"/>
          <w:lang w:val="en-GB"/>
          <w14:ligatures w14:val="none"/>
        </w:rPr>
        <w:t xml:space="preserve"> </w:t>
      </w:r>
      <w:r w:rsidR="006224C1" w:rsidRPr="006224C1">
        <w:rPr>
          <w:rFonts w:eastAsia="Calibri" w:cs="Times New Roman"/>
          <w:b/>
          <w:bCs/>
          <w:noProof/>
          <w:color w:val="003399" w:themeColor="text2"/>
          <w:lang w:val="en-IE"/>
        </w:rPr>
        <w:t>OIB and OIL</w:t>
      </w:r>
      <w:r w:rsidR="006224C1" w:rsidRPr="006224C1">
        <w:rPr>
          <w:rFonts w:eastAsia="Calibri" w:cs="Times New Roman"/>
          <w:noProof/>
          <w:color w:val="003399" w:themeColor="text2"/>
          <w:lang w:val="en-IE"/>
        </w:rPr>
        <w:t xml:space="preserve"> </w:t>
      </w:r>
      <w:r w:rsidR="006224C1" w:rsidRPr="006224C1">
        <w:rPr>
          <w:rFonts w:eastAsia="Calibri" w:cs="Times New Roman"/>
          <w:noProof/>
          <w:lang w:val="en-IE"/>
        </w:rPr>
        <w:t>should</w:t>
      </w:r>
      <w:r w:rsidR="006224C1">
        <w:rPr>
          <w:rFonts w:eastAsia="Calibri" w:cs="Times New Roman"/>
          <w:noProof/>
          <w:lang w:val="en-IE"/>
        </w:rPr>
        <w:t>:</w:t>
      </w:r>
    </w:p>
    <w:p w14:paraId="66B00EB0" w14:textId="185AE115" w:rsidR="009B376A" w:rsidRPr="004B6CD8" w:rsidRDefault="006803DD" w:rsidP="009B376A">
      <w:pPr>
        <w:pStyle w:val="amprLISTtealbullets-L1"/>
        <w:rPr>
          <w:rFonts w:eastAsia="Calibri" w:cs="Times New Roman"/>
          <w:noProof/>
        </w:rPr>
      </w:pPr>
      <w:r w:rsidRPr="004B6CD8">
        <w:rPr>
          <w:rFonts w:eastAsia="Calibri" w:cs="Times New Roman"/>
          <w:noProof/>
        </w:rPr>
        <w:t>improve the budget of the childcare centre / centre-polyvalent d’enfance and cost allocation processes, including the calculation of the institutional and parental contributions</w:t>
      </w:r>
      <w:r w:rsidR="009B376A" w:rsidRPr="004B6CD8">
        <w:rPr>
          <w:rFonts w:eastAsia="Calibri" w:cs="Times New Roman"/>
          <w:noProof/>
        </w:rPr>
        <w:t>.</w:t>
      </w:r>
    </w:p>
    <w:p w14:paraId="63ADC13A" w14:textId="716F3746" w:rsidR="006803DD" w:rsidRPr="004B6CD8" w:rsidRDefault="001771BF" w:rsidP="006803DD">
      <w:pPr>
        <w:jc w:val="both"/>
        <w:rPr>
          <w:rFonts w:eastAsia="Calibri" w:cs="Times New Roman"/>
          <w:noProof/>
          <w:kern w:val="0"/>
          <w:lang w:val="en-GB"/>
          <w14:ligatures w14:val="none"/>
        </w:rPr>
      </w:pPr>
      <w:r>
        <w:rPr>
          <w:rFonts w:eastAsia="Calibri" w:cs="Times New Roman"/>
          <w:noProof/>
          <w:lang w:val="en-GB"/>
        </w:rPr>
        <w:t xml:space="preserve">Recommendation No </w:t>
      </w:r>
      <w:r w:rsidR="00B62180">
        <w:rPr>
          <w:rFonts w:eastAsia="Calibri" w:cs="Times New Roman"/>
          <w:noProof/>
          <w:lang w:val="en-GB"/>
        </w:rPr>
        <w:t>9 and 10, o</w:t>
      </w:r>
      <w:r w:rsidR="006803DD" w:rsidRPr="004B6CD8">
        <w:rPr>
          <w:rFonts w:eastAsia="Calibri" w:cs="Times New Roman"/>
          <w:noProof/>
          <w:lang w:val="en-GB"/>
        </w:rPr>
        <w:t xml:space="preserve">n </w:t>
      </w:r>
      <w:r w:rsidR="00B62180">
        <w:rPr>
          <w:rFonts w:eastAsia="Calibri" w:cs="Times New Roman"/>
          <w:noProof/>
          <w:lang w:val="en-GB"/>
        </w:rPr>
        <w:t xml:space="preserve">the </w:t>
      </w:r>
      <w:r w:rsidR="006803DD" w:rsidRPr="004B6CD8">
        <w:rPr>
          <w:rFonts w:eastAsia="Calibri" w:cs="Times New Roman"/>
          <w:b/>
          <w:bCs/>
          <w:noProof/>
          <w:color w:val="003399" w:themeColor="text2"/>
          <w:kern w:val="0"/>
          <w:lang w:val="en-GB"/>
          <w14:ligatures w14:val="none"/>
        </w:rPr>
        <w:t>IT controls on the project management and IT security of the IT application (eKidWeb) used for the provision of childcare services,</w:t>
      </w:r>
      <w:r w:rsidR="006803DD" w:rsidRPr="004B6CD8">
        <w:rPr>
          <w:rFonts w:eastAsia="Calibri" w:cs="Times New Roman"/>
          <w:noProof/>
          <w:kern w:val="0"/>
          <w:lang w:val="en-GB"/>
          <w14:ligatures w14:val="none"/>
        </w:rPr>
        <w:t xml:space="preserve"> </w:t>
      </w:r>
      <w:r w:rsidR="006224C1" w:rsidRPr="006224C1">
        <w:rPr>
          <w:rFonts w:eastAsia="Calibri" w:cs="Times New Roman"/>
          <w:b/>
          <w:bCs/>
          <w:noProof/>
          <w:color w:val="003399" w:themeColor="text2"/>
          <w:lang w:val="en-IE"/>
        </w:rPr>
        <w:t>OIB and OIL</w:t>
      </w:r>
      <w:r w:rsidR="006224C1" w:rsidRPr="006224C1">
        <w:rPr>
          <w:rFonts w:eastAsia="Calibri" w:cs="Times New Roman"/>
          <w:noProof/>
          <w:color w:val="003399" w:themeColor="text2"/>
          <w:lang w:val="en-IE"/>
        </w:rPr>
        <w:t xml:space="preserve"> </w:t>
      </w:r>
      <w:r w:rsidR="006224C1" w:rsidRPr="006224C1">
        <w:rPr>
          <w:rFonts w:eastAsia="Calibri" w:cs="Times New Roman"/>
          <w:noProof/>
          <w:lang w:val="en-IE"/>
        </w:rPr>
        <w:t>should</w:t>
      </w:r>
      <w:r w:rsidR="006224C1">
        <w:rPr>
          <w:rFonts w:eastAsia="Calibri" w:cs="Times New Roman"/>
          <w:noProof/>
          <w:lang w:val="en-IE"/>
        </w:rPr>
        <w:t>:</w:t>
      </w:r>
    </w:p>
    <w:p w14:paraId="079E6C4F" w14:textId="4EE0C390" w:rsidR="006803DD" w:rsidRPr="004B6CD8" w:rsidRDefault="006803DD" w:rsidP="006224C1">
      <w:pPr>
        <w:pStyle w:val="amprLISTtealbullets-L1"/>
        <w:spacing w:after="240"/>
        <w:ind w:left="782" w:hanging="357"/>
        <w:rPr>
          <w:rFonts w:eastAsia="Calibri" w:cs="Times New Roman"/>
          <w:noProof/>
        </w:rPr>
      </w:pPr>
      <w:r w:rsidRPr="004B6CD8">
        <w:rPr>
          <w:rFonts w:eastAsia="Calibri" w:cs="Times New Roman"/>
          <w:noProof/>
        </w:rPr>
        <w:t>improve the IT controls on project management and IT security of eKidWeb.</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9B376A" w:rsidRPr="007F05B2" w14:paraId="2194BA6F" w14:textId="77777777">
        <w:tc>
          <w:tcPr>
            <w:tcW w:w="9057" w:type="dxa"/>
          </w:tcPr>
          <w:p w14:paraId="0C861B6E" w14:textId="77777777" w:rsidR="006803DD" w:rsidRPr="004B6CD8" w:rsidRDefault="006803DD" w:rsidP="006803DD">
            <w:pPr>
              <w:pStyle w:val="boldblue"/>
            </w:pPr>
            <w:r w:rsidRPr="004B6CD8">
              <w:t>Additional information provided by OIB and OIL on the implemented measures</w:t>
            </w:r>
          </w:p>
          <w:p w14:paraId="5C3CBFBE" w14:textId="2E4C13B4" w:rsidR="009B376A" w:rsidRPr="004B6CD8" w:rsidRDefault="00F15D6E" w:rsidP="00FA5742">
            <w:pPr>
              <w:jc w:val="both"/>
              <w:rPr>
                <w:noProof/>
              </w:rPr>
            </w:pPr>
            <w:r>
              <w:rPr>
                <w:noProof/>
              </w:rPr>
              <w:t xml:space="preserve">OIB and OIL </w:t>
            </w:r>
            <w:r w:rsidRPr="004B6CD8">
              <w:rPr>
                <w:noProof/>
              </w:rPr>
              <w:t>established</w:t>
            </w:r>
            <w:r>
              <w:rPr>
                <w:noProof/>
              </w:rPr>
              <w:t xml:space="preserve"> a</w:t>
            </w:r>
            <w:r w:rsidR="003437FE" w:rsidRPr="004B6CD8">
              <w:rPr>
                <w:noProof/>
              </w:rPr>
              <w:t xml:space="preserve">n action plan </w:t>
            </w:r>
            <w:r w:rsidR="00EC179B">
              <w:rPr>
                <w:noProof/>
              </w:rPr>
              <w:t>a</w:t>
            </w:r>
            <w:r w:rsidR="003437FE" w:rsidRPr="004B6CD8">
              <w:rPr>
                <w:noProof/>
              </w:rPr>
              <w:t>ddress</w:t>
            </w:r>
            <w:r w:rsidR="00EC179B">
              <w:rPr>
                <w:noProof/>
              </w:rPr>
              <w:t>ing</w:t>
            </w:r>
            <w:r w:rsidR="003437FE" w:rsidRPr="004B6CD8">
              <w:rPr>
                <w:noProof/>
              </w:rPr>
              <w:t xml:space="preserve"> </w:t>
            </w:r>
            <w:r w:rsidR="00EC179B">
              <w:rPr>
                <w:noProof/>
              </w:rPr>
              <w:t xml:space="preserve">all </w:t>
            </w:r>
            <w:r w:rsidR="003437FE" w:rsidRPr="004B6CD8">
              <w:rPr>
                <w:noProof/>
              </w:rPr>
              <w:t>audit findings</w:t>
            </w:r>
            <w:r w:rsidR="00EC179B">
              <w:rPr>
                <w:noProof/>
              </w:rPr>
              <w:t xml:space="preserve">., considered as </w:t>
            </w:r>
            <w:r w:rsidR="00FA5742">
              <w:rPr>
                <w:noProof/>
              </w:rPr>
              <w:t xml:space="preserve">satisfactory </w:t>
            </w:r>
            <w:r w:rsidR="00EC179B">
              <w:rPr>
                <w:noProof/>
              </w:rPr>
              <w:t xml:space="preserve">by the IAS. </w:t>
            </w:r>
            <w:r w:rsidR="003437FE" w:rsidRPr="004B6CD8">
              <w:rPr>
                <w:noProof/>
              </w:rPr>
              <w:t xml:space="preserve">The implementation of the recommendations </w:t>
            </w:r>
            <w:r w:rsidR="00EC179B">
              <w:rPr>
                <w:noProof/>
              </w:rPr>
              <w:t>has started</w:t>
            </w:r>
            <w:r w:rsidR="003437FE" w:rsidRPr="004B6CD8">
              <w:rPr>
                <w:noProof/>
              </w:rPr>
              <w:t xml:space="preserve"> with actions to be implemented </w:t>
            </w:r>
            <w:r w:rsidR="00EC179B">
              <w:rPr>
                <w:noProof/>
              </w:rPr>
              <w:t xml:space="preserve">between </w:t>
            </w:r>
            <w:r w:rsidR="003437FE" w:rsidRPr="004B6CD8">
              <w:rPr>
                <w:noProof/>
              </w:rPr>
              <w:t>2026</w:t>
            </w:r>
            <w:r w:rsidR="00EC179B">
              <w:rPr>
                <w:noProof/>
              </w:rPr>
              <w:t xml:space="preserve"> and </w:t>
            </w:r>
            <w:r w:rsidR="003437FE" w:rsidRPr="004B6CD8">
              <w:rPr>
                <w:noProof/>
              </w:rPr>
              <w:t>202</w:t>
            </w:r>
            <w:r w:rsidR="00EC179B">
              <w:rPr>
                <w:noProof/>
              </w:rPr>
              <w:t xml:space="preserve">8. </w:t>
            </w:r>
            <w:r w:rsidR="00F16A49">
              <w:rPr>
                <w:noProof/>
              </w:rPr>
              <w:t xml:space="preserve">The implementation is on track to </w:t>
            </w:r>
            <w:r w:rsidR="003437FE" w:rsidRPr="004B6CD8">
              <w:rPr>
                <w:noProof/>
              </w:rPr>
              <w:t xml:space="preserve">meet </w:t>
            </w:r>
            <w:r w:rsidR="00EC179B">
              <w:rPr>
                <w:noProof/>
              </w:rPr>
              <w:t xml:space="preserve">the </w:t>
            </w:r>
            <w:r w:rsidR="003437FE" w:rsidRPr="004B6CD8">
              <w:rPr>
                <w:noProof/>
              </w:rPr>
              <w:t xml:space="preserve">planned deadlines. </w:t>
            </w:r>
          </w:p>
        </w:tc>
      </w:tr>
    </w:tbl>
    <w:p w14:paraId="4585BBB9" w14:textId="5EA7C06B" w:rsidR="009B376A" w:rsidRPr="004B6CD8" w:rsidRDefault="006803DD" w:rsidP="00D74BE0">
      <w:pPr>
        <w:pStyle w:val="amprH3Title2-Numbered-11"/>
        <w:numPr>
          <w:ilvl w:val="1"/>
          <w:numId w:val="51"/>
        </w:numPr>
        <w:rPr>
          <w:noProof/>
        </w:rPr>
      </w:pPr>
      <w:bookmarkStart w:id="65" w:name="_Toc231235444"/>
      <w:r w:rsidRPr="004B6CD8">
        <w:rPr>
          <w:noProof/>
        </w:rPr>
        <w:t>Coordination between DG FISMA and European Supervisory Authorities</w:t>
      </w:r>
      <w:r w:rsidR="00C0278E">
        <w:rPr>
          <w:noProof/>
        </w:rPr>
        <w:t xml:space="preserve"> (DG FISMA)</w:t>
      </w:r>
      <w:bookmarkEnd w:id="65"/>
    </w:p>
    <w:p w14:paraId="547FA0C9" w14:textId="2551C97C"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objective of the audit was to assess the adequacy of the design and the effective and efficient implementation of the coordination mechanisms between DG FISMA and the European Supervisory Authorities </w:t>
      </w:r>
      <w:r w:rsidR="00B874A6" w:rsidRPr="004B6CD8">
        <w:rPr>
          <w:rFonts w:eastAsia="Calibri" w:cs="Times New Roman"/>
          <w:noProof/>
          <w:kern w:val="0"/>
          <w:lang w:val="en-GB"/>
          <w14:ligatures w14:val="none"/>
        </w:rPr>
        <w:t xml:space="preserve">(ESAs) – </w:t>
      </w:r>
      <w:r w:rsidR="00B04EE6" w:rsidRPr="004B6CD8">
        <w:rPr>
          <w:rFonts w:eastAsia="Calibri" w:cs="Times New Roman"/>
          <w:noProof/>
          <w:kern w:val="0"/>
          <w:lang w:val="en-GB"/>
          <w14:ligatures w14:val="none"/>
        </w:rPr>
        <w:t>the</w:t>
      </w:r>
      <w:r w:rsidR="00B874A6" w:rsidRPr="004B6CD8">
        <w:rPr>
          <w:rFonts w:eastAsia="Calibri" w:cs="Times New Roman"/>
          <w:noProof/>
          <w:kern w:val="0"/>
          <w:lang w:val="en-GB"/>
          <w14:ligatures w14:val="none"/>
        </w:rPr>
        <w:t xml:space="preserve"> </w:t>
      </w:r>
      <w:r w:rsidR="00B04EE6" w:rsidRPr="004B6CD8">
        <w:rPr>
          <w:rFonts w:eastAsia="Calibri" w:cs="Times New Roman"/>
          <w:noProof/>
          <w:kern w:val="0"/>
          <w:lang w:val="en-GB"/>
          <w14:ligatures w14:val="none"/>
        </w:rPr>
        <w:t xml:space="preserve">European Banking authority </w:t>
      </w:r>
      <w:r w:rsidR="00B874A6" w:rsidRPr="004B6CD8">
        <w:rPr>
          <w:rFonts w:eastAsia="Calibri" w:cs="Times New Roman"/>
          <w:noProof/>
          <w:kern w:val="0"/>
          <w:lang w:val="en-GB"/>
          <w14:ligatures w14:val="none"/>
        </w:rPr>
        <w:t>(</w:t>
      </w:r>
      <w:r w:rsidRPr="004B6CD8">
        <w:rPr>
          <w:rFonts w:eastAsia="Calibri" w:cs="Times New Roman"/>
          <w:noProof/>
          <w:kern w:val="0"/>
          <w:lang w:val="en-GB"/>
          <w14:ligatures w14:val="none"/>
        </w:rPr>
        <w:t>EBA</w:t>
      </w:r>
      <w:r w:rsidR="00B874A6" w:rsidRPr="004B6CD8">
        <w:rPr>
          <w:rFonts w:eastAsia="Calibri" w:cs="Times New Roman"/>
          <w:noProof/>
          <w:kern w:val="0"/>
          <w:lang w:val="en-GB"/>
          <w14:ligatures w14:val="none"/>
        </w:rPr>
        <w:t>)</w:t>
      </w:r>
      <w:r w:rsidRPr="004B6CD8">
        <w:rPr>
          <w:rFonts w:eastAsia="Calibri" w:cs="Times New Roman"/>
          <w:noProof/>
          <w:kern w:val="0"/>
          <w:lang w:val="en-GB"/>
          <w14:ligatures w14:val="none"/>
        </w:rPr>
        <w:t xml:space="preserve">, </w:t>
      </w:r>
      <w:r w:rsidR="00B04EE6" w:rsidRPr="004B6CD8">
        <w:rPr>
          <w:rFonts w:eastAsia="Calibri" w:cs="Times New Roman"/>
          <w:noProof/>
          <w:kern w:val="0"/>
          <w:lang w:val="en-GB"/>
          <w14:ligatures w14:val="none"/>
        </w:rPr>
        <w:t>the European Insurance and Occupational Pensions Authority</w:t>
      </w:r>
      <w:r w:rsidR="00B874A6" w:rsidRPr="004B6CD8">
        <w:rPr>
          <w:rFonts w:eastAsia="Calibri" w:cs="Times New Roman"/>
          <w:noProof/>
          <w:kern w:val="0"/>
          <w:lang w:val="en-GB"/>
          <w14:ligatures w14:val="none"/>
        </w:rPr>
        <w:t xml:space="preserve"> (</w:t>
      </w:r>
      <w:r w:rsidRPr="004B6CD8">
        <w:rPr>
          <w:rFonts w:eastAsia="Calibri" w:cs="Times New Roman"/>
          <w:noProof/>
          <w:kern w:val="0"/>
          <w:lang w:val="en-GB"/>
          <w14:ligatures w14:val="none"/>
        </w:rPr>
        <w:t>EIOPA</w:t>
      </w:r>
      <w:r w:rsidR="00B874A6" w:rsidRPr="004B6CD8">
        <w:rPr>
          <w:rFonts w:eastAsia="Calibri" w:cs="Times New Roman"/>
          <w:noProof/>
          <w:kern w:val="0"/>
          <w:lang w:val="en-GB"/>
          <w14:ligatures w14:val="none"/>
        </w:rPr>
        <w:t>)</w:t>
      </w:r>
      <w:r w:rsidR="00B04EE6" w:rsidRPr="004B6CD8">
        <w:rPr>
          <w:rFonts w:eastAsia="Calibri" w:cs="Times New Roman"/>
          <w:noProof/>
          <w:kern w:val="0"/>
          <w:lang w:val="en-GB"/>
          <w14:ligatures w14:val="none"/>
        </w:rPr>
        <w:t xml:space="preserve">, </w:t>
      </w:r>
      <w:r w:rsidRPr="004B6CD8">
        <w:rPr>
          <w:rFonts w:eastAsia="Calibri" w:cs="Times New Roman"/>
          <w:noProof/>
          <w:kern w:val="0"/>
          <w:lang w:val="en-GB"/>
          <w14:ligatures w14:val="none"/>
        </w:rPr>
        <w:t>and</w:t>
      </w:r>
      <w:r w:rsidR="00B04EE6" w:rsidRPr="004B6CD8">
        <w:rPr>
          <w:rFonts w:eastAsia="Calibri" w:cs="Times New Roman"/>
          <w:noProof/>
          <w:kern w:val="0"/>
          <w:lang w:val="en-GB"/>
          <w14:ligatures w14:val="none"/>
        </w:rPr>
        <w:t xml:space="preserve"> the European Securities and Market Authority </w:t>
      </w:r>
      <w:r w:rsidR="00B874A6" w:rsidRPr="004B6CD8">
        <w:rPr>
          <w:rFonts w:eastAsia="Calibri" w:cs="Times New Roman"/>
          <w:noProof/>
          <w:kern w:val="0"/>
          <w:lang w:val="en-GB"/>
          <w14:ligatures w14:val="none"/>
        </w:rPr>
        <w:t>(</w:t>
      </w:r>
      <w:r w:rsidRPr="004B6CD8">
        <w:rPr>
          <w:rFonts w:eastAsia="Calibri" w:cs="Times New Roman"/>
          <w:noProof/>
          <w:kern w:val="0"/>
          <w:lang w:val="en-GB"/>
          <w14:ligatures w14:val="none"/>
        </w:rPr>
        <w:t>ESMA</w:t>
      </w:r>
      <w:r w:rsidR="00B874A6" w:rsidRPr="004B6CD8">
        <w:rPr>
          <w:rFonts w:eastAsia="Calibri" w:cs="Times New Roman"/>
          <w:noProof/>
          <w:kern w:val="0"/>
          <w:lang w:val="en-GB"/>
          <w14:ligatures w14:val="none"/>
        </w:rPr>
        <w:t>)</w:t>
      </w:r>
      <w:r w:rsidRPr="004B6CD8">
        <w:rPr>
          <w:rFonts w:eastAsia="Calibri" w:cs="Times New Roman"/>
          <w:noProof/>
          <w:kern w:val="0"/>
          <w:lang w:val="en-GB"/>
          <w14:ligatures w14:val="none"/>
        </w:rPr>
        <w:t>, to support the achievement of the respective key objectives.</w:t>
      </w:r>
    </w:p>
    <w:p w14:paraId="3F482C6A" w14:textId="77777777" w:rsidR="006803DD" w:rsidRPr="004B6CD8" w:rsidRDefault="006803DD" w:rsidP="006803DD">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4EDCBFD7" w14:textId="77777777" w:rsidR="006803DD" w:rsidRPr="004B6CD8" w:rsidRDefault="006803DD" w:rsidP="006803DD">
      <w:pPr>
        <w:jc w:val="both"/>
        <w:rPr>
          <w:rFonts w:cs="Times New Roman"/>
          <w:i/>
          <w:iCs/>
          <w:noProof/>
          <w:color w:val="003399" w:themeColor="text2"/>
          <w:lang w:val="en-GB"/>
        </w:rPr>
      </w:pPr>
      <w:r w:rsidRPr="004B6CD8">
        <w:rPr>
          <w:rFonts w:cs="Times New Roman"/>
          <w:i/>
          <w:iCs/>
          <w:noProof/>
          <w:color w:val="003399" w:themeColor="text2"/>
          <w:lang w:val="en-GB"/>
        </w:rPr>
        <w:t>Have DG FISMA and the European Supervisory Authorities designed an adequate organisational set up for the overall coordination?</w:t>
      </w:r>
    </w:p>
    <w:p w14:paraId="05B87313"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DG FISMA has developed internal guidance, which formally defines roles and responsibilities of coordination between DG FISMA and the European Supervisory Authorities on the Single Programming Document, resources allocation and technical standards. Working arrangements between DG FISMA and ESAs are in place covering cooperation in the areas of technical standards and technical advice, international matters and guidelines. However, they no longer reflect the current modalities of cooperation between DG FISMA and the European Supervisory Authorities and are not up to date regarding the description of the processes and procedures to be followed. </w:t>
      </w:r>
    </w:p>
    <w:p w14:paraId="10235CD3"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The communication channels in the framework of the Standing Committees and the information exchange mechanisms between DG FISMA and the European Supervisory Authorities are overall adequately designed.</w:t>
      </w:r>
    </w:p>
    <w:p w14:paraId="37ACB19E" w14:textId="77777777" w:rsidR="006803DD" w:rsidRPr="004B6CD8" w:rsidRDefault="006803DD" w:rsidP="006803DD">
      <w:pPr>
        <w:jc w:val="both"/>
        <w:rPr>
          <w:rFonts w:cs="Times New Roman"/>
          <w:i/>
          <w:iCs/>
          <w:noProof/>
          <w:color w:val="003399" w:themeColor="text2"/>
          <w:lang w:val="en-GB"/>
        </w:rPr>
      </w:pPr>
      <w:r w:rsidRPr="004B6CD8">
        <w:rPr>
          <w:rFonts w:cs="Times New Roman"/>
          <w:i/>
          <w:iCs/>
          <w:noProof/>
          <w:color w:val="003399" w:themeColor="text2"/>
          <w:lang w:val="en-GB"/>
        </w:rPr>
        <w:t>Are the coordination mechanisms between DG FISMA and the European Supervisory Authorities in the horizontal areas covered by the audit adequately designed and effectively and timely implemented?</w:t>
      </w:r>
    </w:p>
    <w:p w14:paraId="7726BF41"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The coordination process in place on the draft Single Programming Document is adequately designed and effectively and timely implemented. However, the IAS observed recurrent comments in the Commission Opinion on the Single Programming Document about administrative aspects which reveal that the European Supervisory Authorities did not improve the Single Programming Document over time. Moreover, the absence of formal feedback from the European Supervisory Authorities of DG FISMA’s comment was only recently addressed.</w:t>
      </w:r>
    </w:p>
    <w:p w14:paraId="24841E0C" w14:textId="35390FC3"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coordination process between DG FISMA and the European Supervisory Authorities regarding the preparation of new mandates and ad hoc tasks is overall adequate and timely implemented. However, concerning the request of new services by non-partner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the IAS did not find evidence (for the two cases sampled) that DG FISMA had analysed these proposals and their impact on the European Supervisory Authorities’ resources before the agreement with the other </w:t>
      </w:r>
      <w:r w:rsidR="00A018E5" w:rsidRPr="004B6CD8">
        <w:rPr>
          <w:rFonts w:eastAsia="Calibri" w:cs="Times New Roman"/>
          <w:noProof/>
          <w:kern w:val="0"/>
          <w:lang w:val="en-GB"/>
          <w14:ligatures w14:val="none"/>
        </w:rPr>
        <w:t>Directorates-General</w:t>
      </w:r>
      <w:r w:rsidRPr="004B6CD8">
        <w:rPr>
          <w:rFonts w:eastAsia="Calibri" w:cs="Times New Roman"/>
          <w:noProof/>
          <w:kern w:val="0"/>
          <w:lang w:val="en-GB"/>
          <w14:ligatures w14:val="none"/>
        </w:rPr>
        <w:t xml:space="preserve"> was signed, as required in the note issued by the Secretariat General.</w:t>
      </w:r>
    </w:p>
    <w:p w14:paraId="7B816887"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In line with the European Supervisory Authorities funding regulation, DG FISMA performed reviews of their operations, however the internal planning document has not been complemented by other instructions to drive the DG’ staff through the review exercise. The IAS also found that the European Supervisory Authorities’ review process, as per the Funding Regulation, differs from the evaluation of the EU decentralised agencies both in scope and methodology. So far DG FISMA has conducted one impact assessment to evaluate ‘the powers, governance and funding framework’ in 2017, but no other assessments on the European Supervisory Authorities’ performance have been carried out since.</w:t>
      </w:r>
    </w:p>
    <w:p w14:paraId="2E940FC2"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Commission’s proposal on the new market integration package regulation adopted in December 2025 align the review clause with existing evaluation requirements for the decentralised agencies, enabling the Commission to assess the relevant aspects of ESMA's performance </w:t>
      </w:r>
    </w:p>
    <w:p w14:paraId="012D641D" w14:textId="77777777" w:rsidR="006803DD" w:rsidRPr="004B6CD8" w:rsidRDefault="006803DD" w:rsidP="006803DD">
      <w:pPr>
        <w:jc w:val="both"/>
        <w:rPr>
          <w:rFonts w:cs="Times New Roman"/>
          <w:i/>
          <w:iCs/>
          <w:noProof/>
          <w:color w:val="003399" w:themeColor="text2"/>
          <w:lang w:val="en-GB"/>
        </w:rPr>
      </w:pPr>
      <w:r w:rsidRPr="004B6CD8">
        <w:rPr>
          <w:rFonts w:cs="Times New Roman"/>
          <w:i/>
          <w:iCs/>
          <w:noProof/>
          <w:color w:val="003399" w:themeColor="text2"/>
          <w:lang w:val="en-GB"/>
        </w:rPr>
        <w:t>Are the coordination mechanisms between DG FISMA and the European Supervisory Authorities in the policy areas covered by the audit adequately designed and effectively and timely implemented?</w:t>
      </w:r>
    </w:p>
    <w:p w14:paraId="45666FD2"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The coordination of drafting, amending and adoption of the technical standards is well organised and timely implemented. DG FISMA plans the work and leads or participates in the consultations of the various working groups between Commission and the European Supervisory Authorities representatives efficiently and effectively. DG FISMA effectively supports the work of these working groups.</w:t>
      </w:r>
    </w:p>
    <w:p w14:paraId="05DCA97B"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Concerning the questions and answers process design, some elements have not been defined and mutually agreed between DG FISMA and the European Supervisory Authorities. Moreover, the internal guidance established by DG FISMA is not updated/comprehensive and the existing indicators do not enable to measure the performance of the process.</w:t>
      </w:r>
    </w:p>
    <w:p w14:paraId="7D5E789F"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In terms of the questions and answers process implementation, there is no proper monitoring of and reporting on the state of play of the on-going questions and answers nor an analysis of the root causes of delays. The IT tool used by DG FISMA does not contain reliable or consistent data to enable the DG’s senior management to have an overview of the files. Finally, the IAS did not find evidence that DG FISMA has carried out a lessons learnt exercise to further analyse the issues identified and to improve the process based on stakeholder feedback.</w:t>
      </w:r>
    </w:p>
    <w:p w14:paraId="2C465AA8" w14:textId="77777777" w:rsidR="006803DD" w:rsidRPr="004B6CD8" w:rsidRDefault="006803DD" w:rsidP="006803DD">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2210B247" w14:textId="77777777" w:rsidR="006803DD" w:rsidRPr="004B6CD8" w:rsidRDefault="006803DD" w:rsidP="006803DD">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DG FISMA has adequately designed and effectively and efficiently implemented the coordination mechanisms with the European Supervisory Authorities, to support the achievement of the respective key objectives except for the three very important issues related to the questions and answers process and review and evaluation.</w:t>
      </w:r>
    </w:p>
    <w:p w14:paraId="6B132472" w14:textId="25F20D48"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32DF2440" w14:textId="51F44671" w:rsidR="009B376A" w:rsidRPr="004B6CD8" w:rsidRDefault="00737BC8" w:rsidP="006803DD">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1, o</w:t>
      </w:r>
      <w:r w:rsidR="009B376A" w:rsidRPr="004B6CD8">
        <w:rPr>
          <w:rFonts w:eastAsia="Calibri" w:cs="Times New Roman"/>
          <w:noProof/>
          <w:kern w:val="0"/>
          <w:lang w:val="en-GB"/>
          <w14:ligatures w14:val="none"/>
        </w:rPr>
        <w:t xml:space="preserve">n </w:t>
      </w:r>
      <w:r w:rsidR="006803DD" w:rsidRPr="004B6CD8">
        <w:rPr>
          <w:rFonts w:eastAsia="Calibri" w:cs="Times New Roman"/>
          <w:b/>
          <w:bCs/>
          <w:noProof/>
          <w:color w:val="003399" w:themeColor="text2"/>
          <w:kern w:val="0"/>
          <w:lang w:val="en-GB"/>
          <w14:ligatures w14:val="none"/>
        </w:rPr>
        <w:t>questions and answers: process design</w:t>
      </w:r>
      <w:r w:rsidR="009B376A" w:rsidRPr="004B6CD8">
        <w:rPr>
          <w:rFonts w:eastAsia="Calibri" w:cs="Times New Roman"/>
          <w:noProof/>
          <w:kern w:val="0"/>
          <w:lang w:val="en-GB"/>
          <w14:ligatures w14:val="none"/>
        </w:rPr>
        <w:t xml:space="preserve">, </w:t>
      </w:r>
      <w:r w:rsidR="009B376A" w:rsidRPr="004B6CD8">
        <w:rPr>
          <w:rFonts w:eastAsia="Calibri" w:cs="Times New Roman"/>
          <w:b/>
          <w:bCs/>
          <w:noProof/>
          <w:color w:val="003399" w:themeColor="text2"/>
          <w:kern w:val="0"/>
          <w:lang w:val="en-GB"/>
          <w14:ligatures w14:val="none"/>
        </w:rPr>
        <w:t xml:space="preserve">DG </w:t>
      </w:r>
      <w:r w:rsidR="006803DD" w:rsidRPr="004B6CD8">
        <w:rPr>
          <w:rFonts w:eastAsia="Calibri" w:cs="Times New Roman"/>
          <w:b/>
          <w:bCs/>
          <w:noProof/>
          <w:color w:val="003399" w:themeColor="text2"/>
          <w:kern w:val="0"/>
          <w:lang w:val="en-GB"/>
          <w14:ligatures w14:val="none"/>
        </w:rPr>
        <w:t>FISMA</w:t>
      </w:r>
      <w:r w:rsidR="009B376A" w:rsidRPr="004B6CD8">
        <w:rPr>
          <w:rFonts w:eastAsia="Calibri" w:cs="Times New Roman"/>
          <w:noProof/>
          <w:color w:val="003399" w:themeColor="text2"/>
          <w:kern w:val="0"/>
          <w:lang w:val="en-GB"/>
          <w14:ligatures w14:val="none"/>
        </w:rPr>
        <w:t xml:space="preserve"> </w:t>
      </w:r>
      <w:r w:rsidR="009B376A" w:rsidRPr="004B6CD8">
        <w:rPr>
          <w:rFonts w:eastAsia="Calibri" w:cs="Times New Roman"/>
          <w:noProof/>
          <w:kern w:val="0"/>
          <w:lang w:val="en-GB"/>
          <w14:ligatures w14:val="none"/>
        </w:rPr>
        <w:t>should:</w:t>
      </w:r>
    </w:p>
    <w:p w14:paraId="3A9053A5" w14:textId="01A38A99" w:rsidR="009B376A" w:rsidRPr="004B6CD8" w:rsidRDefault="006803DD" w:rsidP="009B376A">
      <w:pPr>
        <w:pStyle w:val="amprLISTtealbullets-L1"/>
        <w:rPr>
          <w:rFonts w:eastAsia="Calibri" w:cs="Times New Roman"/>
          <w:noProof/>
        </w:rPr>
      </w:pPr>
      <w:r w:rsidRPr="004B6CD8">
        <w:rPr>
          <w:rFonts w:eastAsia="Calibri" w:cs="Times New Roman"/>
          <w:noProof/>
        </w:rPr>
        <w:t>enhance the questions and answers process design.</w:t>
      </w:r>
    </w:p>
    <w:p w14:paraId="0C7786C2" w14:textId="233F3B3D" w:rsidR="006803DD" w:rsidRPr="004B6CD8" w:rsidRDefault="001771BF" w:rsidP="006803DD">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2, o</w:t>
      </w:r>
      <w:r w:rsidR="006803DD" w:rsidRPr="004B6CD8">
        <w:rPr>
          <w:rFonts w:eastAsia="Calibri" w:cs="Times New Roman"/>
          <w:noProof/>
          <w:kern w:val="0"/>
          <w:lang w:val="en-GB"/>
          <w14:ligatures w14:val="none"/>
        </w:rPr>
        <w:t xml:space="preserve">n </w:t>
      </w:r>
      <w:r w:rsidR="006803DD" w:rsidRPr="004B6CD8">
        <w:rPr>
          <w:rFonts w:eastAsia="Calibri" w:cs="Times New Roman"/>
          <w:b/>
          <w:bCs/>
          <w:noProof/>
          <w:color w:val="003399" w:themeColor="text2"/>
          <w:kern w:val="0"/>
          <w:lang w:val="en-GB"/>
          <w14:ligatures w14:val="none"/>
        </w:rPr>
        <w:t>questions and answers: process implementation</w:t>
      </w:r>
      <w:r w:rsidR="006803DD" w:rsidRPr="004B6CD8">
        <w:rPr>
          <w:rFonts w:eastAsia="Calibri" w:cs="Times New Roman"/>
          <w:noProof/>
          <w:kern w:val="0"/>
          <w:lang w:val="en-GB"/>
          <w14:ligatures w14:val="none"/>
        </w:rPr>
        <w:t xml:space="preserve">, </w:t>
      </w:r>
      <w:r w:rsidR="006803DD" w:rsidRPr="004B6CD8">
        <w:rPr>
          <w:rFonts w:eastAsia="Calibri" w:cs="Times New Roman"/>
          <w:b/>
          <w:bCs/>
          <w:noProof/>
          <w:color w:val="003399" w:themeColor="text2"/>
          <w:kern w:val="0"/>
          <w:lang w:val="en-GB"/>
          <w14:ligatures w14:val="none"/>
        </w:rPr>
        <w:t>DG FISMA</w:t>
      </w:r>
      <w:r w:rsidR="006803DD" w:rsidRPr="004B6CD8">
        <w:rPr>
          <w:rFonts w:eastAsia="Calibri" w:cs="Times New Roman"/>
          <w:noProof/>
          <w:color w:val="003399" w:themeColor="text2"/>
          <w:kern w:val="0"/>
          <w:lang w:val="en-GB"/>
          <w14:ligatures w14:val="none"/>
        </w:rPr>
        <w:t xml:space="preserve"> </w:t>
      </w:r>
      <w:r w:rsidR="006803DD" w:rsidRPr="004B6CD8">
        <w:rPr>
          <w:rFonts w:eastAsia="Calibri" w:cs="Times New Roman"/>
          <w:noProof/>
          <w:kern w:val="0"/>
          <w:lang w:val="en-GB"/>
          <w14:ligatures w14:val="none"/>
        </w:rPr>
        <w:t>should:</w:t>
      </w:r>
    </w:p>
    <w:p w14:paraId="60798363" w14:textId="24DAFCA5" w:rsidR="006803DD" w:rsidRPr="004B6CD8" w:rsidRDefault="006803DD" w:rsidP="006803DD">
      <w:pPr>
        <w:pStyle w:val="amprLISTtealbullets-L1"/>
        <w:rPr>
          <w:noProof/>
        </w:rPr>
      </w:pPr>
      <w:r w:rsidRPr="004B6CD8">
        <w:rPr>
          <w:noProof/>
        </w:rPr>
        <w:t>enhance the implementation of the questions and answers process</w:t>
      </w:r>
      <w:r w:rsidRPr="004B6CD8">
        <w:rPr>
          <w:rFonts w:eastAsia="Calibri" w:cs="Times New Roman"/>
          <w:noProof/>
        </w:rPr>
        <w:t>.</w:t>
      </w:r>
    </w:p>
    <w:p w14:paraId="30B24EAC" w14:textId="4BD05300" w:rsidR="006803DD" w:rsidRPr="004B6CD8" w:rsidRDefault="001771BF" w:rsidP="006803DD">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3, o</w:t>
      </w:r>
      <w:r w:rsidR="006803DD" w:rsidRPr="004B6CD8">
        <w:rPr>
          <w:rFonts w:eastAsia="Calibri" w:cs="Times New Roman"/>
          <w:noProof/>
          <w:kern w:val="0"/>
          <w:lang w:val="en-GB"/>
          <w14:ligatures w14:val="none"/>
        </w:rPr>
        <w:t xml:space="preserve">n </w:t>
      </w:r>
      <w:r w:rsidR="006803DD" w:rsidRPr="004B6CD8">
        <w:rPr>
          <w:rFonts w:eastAsia="Calibri" w:cs="Times New Roman"/>
          <w:b/>
          <w:bCs/>
          <w:noProof/>
          <w:color w:val="003399" w:themeColor="text2"/>
          <w:kern w:val="0"/>
          <w:lang w:val="en-GB"/>
          <w14:ligatures w14:val="none"/>
        </w:rPr>
        <w:t>review and evaluation</w:t>
      </w:r>
      <w:r w:rsidR="006803DD" w:rsidRPr="004B6CD8">
        <w:rPr>
          <w:rFonts w:eastAsia="Calibri" w:cs="Times New Roman"/>
          <w:noProof/>
          <w:kern w:val="0"/>
          <w:lang w:val="en-GB"/>
          <w14:ligatures w14:val="none"/>
        </w:rPr>
        <w:t xml:space="preserve">, </w:t>
      </w:r>
      <w:r w:rsidR="006803DD" w:rsidRPr="004B6CD8">
        <w:rPr>
          <w:rFonts w:eastAsia="Calibri" w:cs="Times New Roman"/>
          <w:b/>
          <w:bCs/>
          <w:noProof/>
          <w:color w:val="003399" w:themeColor="text2"/>
          <w:kern w:val="0"/>
          <w:lang w:val="en-GB"/>
          <w14:ligatures w14:val="none"/>
        </w:rPr>
        <w:t>DG FISMA</w:t>
      </w:r>
      <w:r w:rsidR="006803DD" w:rsidRPr="004B6CD8">
        <w:rPr>
          <w:rFonts w:eastAsia="Calibri" w:cs="Times New Roman"/>
          <w:noProof/>
          <w:color w:val="003399" w:themeColor="text2"/>
          <w:kern w:val="0"/>
          <w:lang w:val="en-GB"/>
          <w14:ligatures w14:val="none"/>
        </w:rPr>
        <w:t xml:space="preserve"> </w:t>
      </w:r>
      <w:r w:rsidR="006803DD" w:rsidRPr="004B6CD8">
        <w:rPr>
          <w:rFonts w:eastAsia="Calibri" w:cs="Times New Roman"/>
          <w:noProof/>
          <w:kern w:val="0"/>
          <w:lang w:val="en-GB"/>
          <w14:ligatures w14:val="none"/>
        </w:rPr>
        <w:t>should:</w:t>
      </w:r>
    </w:p>
    <w:p w14:paraId="7C99E8AC" w14:textId="39E2FD59" w:rsidR="009B376A" w:rsidRPr="004B6CD8" w:rsidRDefault="006803DD" w:rsidP="00A86C39">
      <w:pPr>
        <w:pStyle w:val="amprLISTtealbullets-L1"/>
        <w:spacing w:after="240"/>
        <w:ind w:left="782" w:hanging="357"/>
        <w:rPr>
          <w:rFonts w:eastAsia="Calibri" w:cs="Times New Roman"/>
          <w:noProof/>
        </w:rPr>
      </w:pPr>
      <w:r w:rsidRPr="004B6CD8">
        <w:rPr>
          <w:rFonts w:eastAsia="Calibri" w:cs="Times New Roman"/>
          <w:noProof/>
        </w:rPr>
        <w:t>improve review process design.</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9B376A" w:rsidRPr="007F05B2" w14:paraId="27ECD824" w14:textId="77777777">
        <w:tc>
          <w:tcPr>
            <w:tcW w:w="9057" w:type="dxa"/>
          </w:tcPr>
          <w:p w14:paraId="4E7C68B8" w14:textId="77777777" w:rsidR="006803DD" w:rsidRPr="004B6CD8" w:rsidRDefault="006803DD" w:rsidP="006803DD">
            <w:pPr>
              <w:pStyle w:val="boldblue"/>
            </w:pPr>
            <w:r w:rsidRPr="004B6CD8">
              <w:t>Additional information provided by DG FISMA on the implemented measures</w:t>
            </w:r>
          </w:p>
          <w:p w14:paraId="460E26A1" w14:textId="470E108E" w:rsidR="009B376A" w:rsidRPr="004B6CD8" w:rsidRDefault="003437FE" w:rsidP="006803DD">
            <w:pPr>
              <w:jc w:val="both"/>
              <w:rPr>
                <w:noProof/>
              </w:rPr>
            </w:pPr>
            <w:r w:rsidRPr="03B84B62">
              <w:rPr>
                <w:noProof/>
                <w:lang w:val="en-US"/>
              </w:rPr>
              <w:t xml:space="preserve">Following the adoption by the IAS of the final audit report in December 2025, DG FISMA </w:t>
            </w:r>
            <w:r w:rsidR="00EC179B" w:rsidRPr="03B84B62">
              <w:rPr>
                <w:noProof/>
                <w:lang w:val="en-US"/>
              </w:rPr>
              <w:t xml:space="preserve">submitted an </w:t>
            </w:r>
            <w:r w:rsidR="631F9A91" w:rsidRPr="6D2DF4AF">
              <w:rPr>
                <w:noProof/>
                <w:lang w:val="en-US"/>
              </w:rPr>
              <w:t>action plan</w:t>
            </w:r>
            <w:r w:rsidR="00EC179B" w:rsidRPr="03B84B62">
              <w:rPr>
                <w:noProof/>
                <w:lang w:val="en-US"/>
              </w:rPr>
              <w:t xml:space="preserve">, </w:t>
            </w:r>
            <w:r w:rsidR="00AA430E" w:rsidRPr="03B84B62">
              <w:rPr>
                <w:noProof/>
                <w:lang w:val="en-US"/>
              </w:rPr>
              <w:t xml:space="preserve">which is </w:t>
            </w:r>
            <w:r w:rsidR="55BC11D4" w:rsidRPr="03B84B62">
              <w:rPr>
                <w:noProof/>
                <w:lang w:val="en-US"/>
              </w:rPr>
              <w:t>being assessed by the IAS</w:t>
            </w:r>
            <w:r w:rsidR="00E8030A">
              <w:rPr>
                <w:noProof/>
                <w:lang w:val="en-US"/>
              </w:rPr>
              <w:t>.</w:t>
            </w:r>
            <w:r w:rsidR="00EC179B" w:rsidRPr="03B84B62">
              <w:rPr>
                <w:noProof/>
                <w:lang w:val="en-US"/>
              </w:rPr>
              <w:t xml:space="preserve"> Notwithstanding</w:t>
            </w:r>
            <w:r w:rsidR="00A85CD6" w:rsidRPr="03B84B62">
              <w:rPr>
                <w:noProof/>
                <w:lang w:val="en-US"/>
              </w:rPr>
              <w:t>,</w:t>
            </w:r>
            <w:r w:rsidR="00EC179B" w:rsidRPr="03B84B62">
              <w:rPr>
                <w:noProof/>
                <w:lang w:val="en-US"/>
              </w:rPr>
              <w:t xml:space="preserve"> </w:t>
            </w:r>
            <w:r w:rsidRPr="03B84B62">
              <w:rPr>
                <w:noProof/>
                <w:lang w:val="en-US"/>
              </w:rPr>
              <w:t xml:space="preserve">DG FISMA has already </w:t>
            </w:r>
            <w:r w:rsidR="00EC179B" w:rsidRPr="03B84B62">
              <w:rPr>
                <w:noProof/>
                <w:lang w:val="en-US"/>
              </w:rPr>
              <w:t>launched the</w:t>
            </w:r>
            <w:r w:rsidRPr="03B84B62">
              <w:rPr>
                <w:noProof/>
                <w:lang w:val="en-US"/>
              </w:rPr>
              <w:t xml:space="preserve"> </w:t>
            </w:r>
            <w:r w:rsidR="00EC179B" w:rsidRPr="03B84B62">
              <w:rPr>
                <w:noProof/>
                <w:lang w:val="en-US"/>
              </w:rPr>
              <w:t xml:space="preserve">implementation of </w:t>
            </w:r>
            <w:r w:rsidRPr="03B84B62">
              <w:rPr>
                <w:noProof/>
                <w:lang w:val="en-US"/>
              </w:rPr>
              <w:t xml:space="preserve">some actions to ensure a timely completion of the action plan. </w:t>
            </w:r>
          </w:p>
        </w:tc>
      </w:tr>
    </w:tbl>
    <w:p w14:paraId="7D5921C1" w14:textId="2B980414" w:rsidR="009B376A" w:rsidRPr="004B6CD8" w:rsidRDefault="00F74EAA" w:rsidP="00D74BE0">
      <w:pPr>
        <w:pStyle w:val="amprH3Title2-Numbered-11"/>
        <w:numPr>
          <w:ilvl w:val="1"/>
          <w:numId w:val="51"/>
        </w:numPr>
        <w:rPr>
          <w:noProof/>
        </w:rPr>
      </w:pPr>
      <w:bookmarkStart w:id="66" w:name="_Toc231235445"/>
      <w:r w:rsidRPr="004B6CD8">
        <w:rPr>
          <w:noProof/>
        </w:rPr>
        <w:t>Management of the control data of the Common Fisheries Policy</w:t>
      </w:r>
      <w:r w:rsidR="00C0278E">
        <w:rPr>
          <w:noProof/>
        </w:rPr>
        <w:t xml:space="preserve"> (DG MARE)</w:t>
      </w:r>
      <w:bookmarkEnd w:id="66"/>
    </w:p>
    <w:p w14:paraId="1A05B421" w14:textId="1FFACDE9" w:rsidR="00F74EAA" w:rsidRPr="004B6CD8" w:rsidRDefault="009B376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The</w:t>
      </w:r>
      <w:r w:rsidR="00F74EAA" w:rsidRPr="004B6CD8">
        <w:rPr>
          <w:rFonts w:eastAsia="Calibri" w:cs="Times New Roman"/>
          <w:noProof/>
          <w:kern w:val="0"/>
          <w:lang w:val="en-GB"/>
          <w14:ligatures w14:val="none"/>
        </w:rPr>
        <w:t xml:space="preserve"> objective of the audit was to assess whether DG MARE has adequately designed and effectively and efficiently implemented processes for managing the control data of the Common Fisheries Policy, in line with the applicable legal framework.</w:t>
      </w:r>
    </w:p>
    <w:p w14:paraId="67DC1C32" w14:textId="77777777" w:rsidR="00F74EAA" w:rsidRPr="004B6CD8" w:rsidRDefault="00F74EAA" w:rsidP="00F74EAA">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02328B93" w14:textId="77777777" w:rsidR="00F74EAA" w:rsidRPr="004B6CD8" w:rsidRDefault="00F74EAA" w:rsidP="00F74EAA">
      <w:pPr>
        <w:jc w:val="both"/>
        <w:rPr>
          <w:rFonts w:cs="Times New Roman"/>
          <w:i/>
          <w:iCs/>
          <w:noProof/>
          <w:color w:val="003399" w:themeColor="text2"/>
          <w:lang w:val="en-GB"/>
        </w:rPr>
      </w:pPr>
      <w:r w:rsidRPr="004B6CD8">
        <w:rPr>
          <w:rFonts w:cs="Times New Roman"/>
          <w:i/>
          <w:iCs/>
          <w:noProof/>
          <w:color w:val="003399" w:themeColor="text2"/>
          <w:lang w:val="en-GB"/>
        </w:rPr>
        <w:t>Has DG MARE put in place an adequate data management framework covering the management of control data?</w:t>
      </w:r>
    </w:p>
    <w:p w14:paraId="68213EF9"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DG MARE has put in place a data management framework in line with the Commission corporate guidance. This framework includes a data management strategy covering the management of control data and a Digital Steering Committee, overseen at DG level, responsible for setting up and monitoring data and digital strategies with the support of the DG MARE data network working group and of the Integrated Fisheries Data Management programme Committee.</w:t>
      </w:r>
    </w:p>
    <w:p w14:paraId="5E79B59E"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In addition, internal coordination and dissemination of updated information on data related issues is ensured through the activities of the local data correspondent as well as through regular meetings of the data network working group and of the Integrated Fisheries Data Management Committee. Awareness events and topical presentations are also organised by the data management unit. </w:t>
      </w:r>
    </w:p>
    <w:p w14:paraId="7E395319"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However, in terms of implementation of the data management strategy, there are no concrete action plans or indicators to steer and monitor its progress. Moreover, data owners and data stewards have not been officially assigned, although it is required by the corporate guidance and there is a lack of back up arrangements in the data management unit.</w:t>
      </w:r>
    </w:p>
    <w:p w14:paraId="7835EB14" w14:textId="77777777" w:rsidR="00F74EAA" w:rsidRPr="004B6CD8" w:rsidRDefault="00F74EAA" w:rsidP="00F74EAA">
      <w:pPr>
        <w:jc w:val="both"/>
        <w:rPr>
          <w:rFonts w:cs="Times New Roman"/>
          <w:i/>
          <w:iCs/>
          <w:noProof/>
          <w:color w:val="003399" w:themeColor="text2"/>
          <w:lang w:val="en-GB"/>
        </w:rPr>
      </w:pPr>
      <w:r w:rsidRPr="004B6CD8">
        <w:rPr>
          <w:rFonts w:cs="Times New Roman"/>
          <w:i/>
          <w:iCs/>
          <w:noProof/>
          <w:color w:val="003399" w:themeColor="text2"/>
          <w:lang w:val="en-GB"/>
        </w:rPr>
        <w:t>Has DG MARE put in place adequate processes to ensure that it receives data from the Member States/ third countries as per the legal basis?</w:t>
      </w:r>
    </w:p>
    <w:p w14:paraId="478847FD"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Overall, where there is a specific legal requirement for Member States to submit control data to the Commission, DG MARE has put in place adequate processes for the reception of such data. Nevertheless, Member States did not systematically send timely information on closures of fisheries, in line with Article 35 of the Control Regulation. The auditors found that DG MARE had not put in place a process for improving Member States’ compliance with their reporting obligations on closures of fisheries.</w:t>
      </w:r>
    </w:p>
    <w:p w14:paraId="523E9A23"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DG MARE currently faces difficulties to access some control data (i.e. disaggregated catch data from fishing logbooks) from certain Member States which consider that this is not required under the current legal basis. To address this issue, the amended Control Regulation, mostly applicable from January 2026, clarifies the need for flag Member States to ‘ensure direct electronic exchange of relevant information concerning vessels flying its flag’ to the Commission (or the body designated by it), including fishing logbook information. </w:t>
      </w:r>
    </w:p>
    <w:p w14:paraId="46AC19C4"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In addition, DG MARE is continuously improving its IT environment and the functionalities of its systems and monitoring tools to facilitate the submission and exchanges of fisheries control data, based on a universal standard, as well as to lessen duplication of data requirements wherever possible. DG MARE has also delivered specific training events and exchanged extensively with Member States and third countries on the digitalisation of the EU certification scheme, resulting in a high level of preparedness for the introduction of the CATCH IT Tool in January 2026. </w:t>
      </w:r>
    </w:p>
    <w:p w14:paraId="53654101" w14:textId="77777777" w:rsidR="00F74EAA" w:rsidRPr="004B6CD8" w:rsidRDefault="00F74EAA" w:rsidP="00F74EAA">
      <w:pPr>
        <w:jc w:val="both"/>
        <w:rPr>
          <w:rFonts w:cs="Times New Roman"/>
          <w:i/>
          <w:iCs/>
          <w:noProof/>
          <w:color w:val="003399" w:themeColor="text2"/>
          <w:lang w:val="en-GB"/>
        </w:rPr>
      </w:pPr>
      <w:r w:rsidRPr="004B6CD8">
        <w:rPr>
          <w:rFonts w:cs="Times New Roman"/>
          <w:i/>
          <w:iCs/>
          <w:noProof/>
          <w:color w:val="003399" w:themeColor="text2"/>
          <w:lang w:val="en-GB"/>
        </w:rPr>
        <w:t>Has DG MARE put in place processes to ensure adequate quality of control data?</w:t>
      </w:r>
    </w:p>
    <w:p w14:paraId="6E7BA42B"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While Member States are primarily responsible for ensuring that all control data submitted or made available to the Commission as per the relevant regulations are accurate and complete, based on a validation system set up for that purpose, DG MARE has taken a number of steps to improve the quality of the control data.</w:t>
      </w:r>
    </w:p>
    <w:p w14:paraId="1855F98A"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Through expert groups, implementation documents and guidance, DG MARE has been working closely with Member States to help them improve the quality of the control data submitted. Thanks to continuous improvement of its IT environment, DG MARE is enhancing automated checks on the quality of the data. Based on the review of the outcome of these automated checks, DG MARE follows-up on detected inconsistencies, which are considered most material, through bilateral exchanges with the Member States concerned, to ensure adequate action is taken. In addition, DG MARE conducts verifications and audits, which may include data validation systems in their scope, and follows up appropriately the related Member State’s action plans. </w:t>
      </w:r>
    </w:p>
    <w:p w14:paraId="3552D69C"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However, while the Control Regulation requires Member States to send to DG MARE updates of national plans on data validation systems, there is no procedure for their assessment and follow-up. </w:t>
      </w:r>
    </w:p>
    <w:p w14:paraId="45FFF058"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In order to further improve the exchange and quality of Member State’s control data, the revised Control Regulation enables the Commission to include, in an implementing act, provisions on data quality and validation of data. The revised implementing act accompanying the Control Regulation is currently being finalised. It will include mandatory data validation rules for the Member States aiming at substantially improving the quality of the data provided. The adoption is planned for the Autumn 2025, which will likely lead to delays in the IT systems’ necessary updates and as a result in the implementation of the revised Control Regulation. </w:t>
      </w:r>
    </w:p>
    <w:p w14:paraId="06B4395D" w14:textId="77777777" w:rsidR="00F74EAA" w:rsidRPr="004B6CD8" w:rsidRDefault="00F74EAA" w:rsidP="00F74EAA">
      <w:pPr>
        <w:jc w:val="both"/>
        <w:rPr>
          <w:rFonts w:cs="Times New Roman"/>
          <w:i/>
          <w:iCs/>
          <w:noProof/>
          <w:color w:val="003399" w:themeColor="text2"/>
          <w:lang w:val="en-GB"/>
        </w:rPr>
      </w:pPr>
      <w:r w:rsidRPr="004B6CD8">
        <w:rPr>
          <w:rFonts w:cs="Times New Roman"/>
          <w:i/>
          <w:iCs/>
          <w:noProof/>
          <w:color w:val="003399" w:themeColor="text2"/>
          <w:lang w:val="en-GB"/>
        </w:rPr>
        <w:t>Has DG MARE put in place processes to ensure adequate use and dissemination of control data?</w:t>
      </w:r>
    </w:p>
    <w:p w14:paraId="4B094CA6"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DG MARE has established a comprehensive list of reporting obligations towards the Regional Fisheries Management Organisations and in the South-West Atlantic. This list is updated annually and sent to the Council. In addition, DG MARE adequately disseminates control data as per the current legal limits and published for the first time in 2024 aggregated catch data. In addition, DG MARE has taken steps to allow the reuse and wider sharing of data through the amendment of the Control Regulation, applicable as from January 2026.</w:t>
      </w:r>
    </w:p>
    <w:p w14:paraId="3ECE480F"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However, the following areas in the use and sharing of control data need improvement:</w:t>
      </w:r>
    </w:p>
    <w:p w14:paraId="0AAF336E" w14:textId="0FAB2758" w:rsidR="00F74EAA" w:rsidRPr="004B6CD8" w:rsidRDefault="00F74EAA" w:rsidP="00AB68F6">
      <w:pPr>
        <w:pStyle w:val="amprLISTtealbullets-L1"/>
        <w:rPr>
          <w:rFonts w:eastAsia="Calibri"/>
          <w:noProof/>
        </w:rPr>
      </w:pPr>
      <w:r w:rsidRPr="004B6CD8">
        <w:rPr>
          <w:rFonts w:eastAsia="Calibri"/>
          <w:noProof/>
        </w:rPr>
        <w:t>monitoring of the consumption of fishing opportunities and of Member State closures of fisheries; notification on the Commission’s website of such closures</w:t>
      </w:r>
      <w:r w:rsidR="006A5808" w:rsidRPr="004B6CD8">
        <w:rPr>
          <w:rFonts w:eastAsia="Calibri"/>
          <w:noProof/>
        </w:rPr>
        <w:t>;</w:t>
      </w:r>
    </w:p>
    <w:p w14:paraId="7E54BD7A" w14:textId="34111125" w:rsidR="00F74EAA" w:rsidRPr="004B6CD8" w:rsidRDefault="00F74EAA" w:rsidP="00AB68F6">
      <w:pPr>
        <w:pStyle w:val="amprLISTtealbullets-L1"/>
        <w:rPr>
          <w:rFonts w:eastAsia="Calibri"/>
          <w:noProof/>
        </w:rPr>
      </w:pPr>
      <w:r w:rsidRPr="004B6CD8">
        <w:rPr>
          <w:rFonts w:eastAsia="Calibri"/>
          <w:noProof/>
        </w:rPr>
        <w:t>use of information received on alleged illegal, unregulated and unreported fishing activities; notification and dissemination of updated information relating to illegal, unregulated and unreported fishing activities</w:t>
      </w:r>
      <w:r w:rsidR="006A5808" w:rsidRPr="004B6CD8">
        <w:rPr>
          <w:rFonts w:eastAsia="Calibri"/>
          <w:noProof/>
        </w:rPr>
        <w:t>;</w:t>
      </w:r>
    </w:p>
    <w:p w14:paraId="13F5EC35" w14:textId="18E1435F" w:rsidR="00F74EAA" w:rsidRPr="004B6CD8" w:rsidRDefault="00F74EAA" w:rsidP="00AB68F6">
      <w:pPr>
        <w:pStyle w:val="amprLISTtealbullets-L1"/>
        <w:rPr>
          <w:rFonts w:eastAsia="Calibri"/>
          <w:noProof/>
        </w:rPr>
      </w:pPr>
      <w:r w:rsidRPr="004B6CD8">
        <w:rPr>
          <w:rFonts w:eastAsia="Calibri"/>
          <w:noProof/>
        </w:rPr>
        <w:t>checks on and transmission of Regional Fisheries Management Organisations lists of vessels with fishing authorisations.</w:t>
      </w:r>
    </w:p>
    <w:p w14:paraId="5C735C88" w14:textId="77777777" w:rsidR="00F74EAA" w:rsidRPr="004B6CD8" w:rsidRDefault="00F74EAA" w:rsidP="001F0DF8">
      <w:pPr>
        <w:spacing w:after="160"/>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50B1BED9" w14:textId="77777777" w:rsidR="00F74EAA" w:rsidRPr="004B6CD8" w:rsidRDefault="00F74EAA" w:rsidP="001F0DF8">
      <w:pPr>
        <w:spacing w:before="160" w:after="160"/>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DG MARE has adequately designed and effectively and efficiently implemented processes for managing the control data of the Common Fisheries Policy, in line with the legal framework applicable at the time of the audit, except for one very important issue related to the reception, use and publication of data related to fishing opportunities.</w:t>
      </w:r>
    </w:p>
    <w:p w14:paraId="0177D179" w14:textId="77777777" w:rsidR="00127BC0" w:rsidRDefault="00127BC0">
      <w:pPr>
        <w:spacing w:before="0" w:after="160"/>
        <w:rPr>
          <w:rFonts w:cs="Times New Roman"/>
          <w:b/>
          <w:bCs/>
          <w:noProof/>
          <w:color w:val="003399" w:themeColor="text2"/>
          <w:u w:val="single"/>
          <w:lang w:val="en-GB"/>
        </w:rPr>
      </w:pPr>
      <w:r>
        <w:rPr>
          <w:rFonts w:cs="Times New Roman"/>
          <w:b/>
          <w:bCs/>
          <w:noProof/>
          <w:color w:val="003399" w:themeColor="text2"/>
          <w:u w:val="single"/>
          <w:lang w:val="en-GB"/>
        </w:rPr>
        <w:br w:type="page"/>
      </w:r>
    </w:p>
    <w:p w14:paraId="586A20D9" w14:textId="6A84BDF2" w:rsidR="007E3E16" w:rsidRPr="004B6CD8" w:rsidRDefault="00521085" w:rsidP="001F0DF8">
      <w:pPr>
        <w:spacing w:before="160"/>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4D37AB28" w14:textId="15BE7C3D" w:rsidR="00B62180" w:rsidRDefault="00F74EAA" w:rsidP="001F0DF8">
      <w:pPr>
        <w:spacing w:after="120"/>
        <w:jc w:val="both"/>
        <w:rPr>
          <w:rFonts w:eastAsia="Calibri" w:cs="Times New Roman"/>
          <w:noProof/>
          <w:kern w:val="0"/>
          <w:lang w:val="en-GB"/>
          <w14:ligatures w14:val="none"/>
        </w:rPr>
      </w:pPr>
      <w:r w:rsidRPr="004B6CD8">
        <w:rPr>
          <w:rFonts w:eastAsia="Calibri" w:cs="Times New Roman"/>
          <w:noProof/>
          <w:kern w:val="0"/>
          <w:lang w:val="en-GB"/>
          <w14:ligatures w14:val="none"/>
        </w:rPr>
        <w:t>Recommendation No 2</w:t>
      </w:r>
      <w:r w:rsidR="00B62180">
        <w:rPr>
          <w:rFonts w:eastAsia="Calibri" w:cs="Times New Roman"/>
          <w:noProof/>
          <w:kern w:val="0"/>
          <w:lang w:val="en-GB"/>
          <w14:ligatures w14:val="none"/>
        </w:rPr>
        <w:t xml:space="preserve">, on the </w:t>
      </w:r>
      <w:r w:rsidR="00B62180">
        <w:rPr>
          <w:rFonts w:eastAsia="Times New Roman" w:cs="Times New Roman"/>
          <w:b/>
          <w:bCs/>
          <w:noProof/>
          <w:color w:val="003399" w:themeColor="text2"/>
          <w:kern w:val="0"/>
          <w:szCs w:val="20"/>
          <w:lang w:val="en-GB" w:eastAsia="en-GB"/>
          <w14:ligatures w14:val="none"/>
        </w:rPr>
        <w:t>r</w:t>
      </w:r>
      <w:r w:rsidR="00B62180" w:rsidRPr="008A53FC">
        <w:rPr>
          <w:rFonts w:eastAsia="Times New Roman" w:cs="Times New Roman"/>
          <w:b/>
          <w:bCs/>
          <w:noProof/>
          <w:color w:val="003399" w:themeColor="text2"/>
          <w:kern w:val="0"/>
          <w:szCs w:val="20"/>
          <w:lang w:val="en-GB" w:eastAsia="en-GB"/>
          <w14:ligatures w14:val="none"/>
        </w:rPr>
        <w:t>eception, use and publication of data related to fishing opportunities and closures of fisheries,</w:t>
      </w:r>
      <w:r w:rsidRPr="004B6CD8">
        <w:rPr>
          <w:rFonts w:eastAsia="Calibri" w:cs="Times New Roman"/>
          <w:noProof/>
          <w:kern w:val="0"/>
          <w:lang w:val="en-GB"/>
          <w14:ligatures w14:val="none"/>
        </w:rPr>
        <w:t xml:space="preserve"> </w:t>
      </w:r>
      <w:r w:rsidRPr="007D6C82">
        <w:rPr>
          <w:rFonts w:eastAsia="Times New Roman" w:cs="Times New Roman"/>
          <w:b/>
          <w:noProof/>
          <w:color w:val="003399" w:themeColor="text2"/>
          <w:kern w:val="0"/>
          <w:szCs w:val="20"/>
          <w:lang w:val="en-IE" w:eastAsia="en-GB"/>
          <w14:ligatures w14:val="none"/>
        </w:rPr>
        <w:t>DG MARE</w:t>
      </w:r>
      <w:r w:rsidRPr="008A53FC">
        <w:rPr>
          <w:rFonts w:eastAsia="Times New Roman" w:cs="Times New Roman"/>
          <w:bCs/>
          <w:noProof/>
          <w:color w:val="003399" w:themeColor="text2"/>
          <w:kern w:val="0"/>
          <w:szCs w:val="20"/>
          <w:lang w:val="en-IE" w:eastAsia="en-GB"/>
          <w14:ligatures w14:val="none"/>
        </w:rPr>
        <w:t xml:space="preserve"> </w:t>
      </w:r>
      <w:r w:rsidRPr="008A53FC">
        <w:rPr>
          <w:rFonts w:eastAsia="Calibri" w:cs="Times New Roman"/>
          <w:noProof/>
          <w:kern w:val="0"/>
          <w:lang w:val="en-IE"/>
          <w14:ligatures w14:val="none"/>
        </w:rPr>
        <w:t>should</w:t>
      </w:r>
      <w:r w:rsidR="00B62180">
        <w:rPr>
          <w:rFonts w:eastAsia="Calibri" w:cs="Times New Roman"/>
          <w:noProof/>
          <w:kern w:val="0"/>
          <w:lang w:val="en-GB"/>
          <w14:ligatures w14:val="none"/>
        </w:rPr>
        <w:t>:</w:t>
      </w:r>
    </w:p>
    <w:p w14:paraId="2DD76760" w14:textId="286531E3" w:rsidR="00F74EAA" w:rsidRPr="004B6CD8" w:rsidRDefault="00F74EAA" w:rsidP="007D6C82">
      <w:pPr>
        <w:pStyle w:val="amprLISTtealbullets-L1"/>
        <w:spacing w:after="240"/>
        <w:ind w:left="782" w:hanging="357"/>
        <w:rPr>
          <w:rFonts w:eastAsia="Calibri"/>
          <w:noProof/>
        </w:rPr>
      </w:pPr>
      <w:r w:rsidRPr="004B6CD8">
        <w:rPr>
          <w:rFonts w:eastAsia="Calibri"/>
          <w:noProof/>
        </w:rPr>
        <w:t>improve monitoring of data on fishing opportunities and closure of fisheries.</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9B376A" w:rsidRPr="007F05B2" w14:paraId="5176947F" w14:textId="77777777">
        <w:tc>
          <w:tcPr>
            <w:tcW w:w="9057" w:type="dxa"/>
          </w:tcPr>
          <w:p w14:paraId="618D6BBE" w14:textId="77777777" w:rsidR="00F74EAA" w:rsidRPr="004B6CD8" w:rsidRDefault="00F74EAA" w:rsidP="00F74EAA">
            <w:pPr>
              <w:pStyle w:val="boldblue"/>
            </w:pPr>
            <w:r w:rsidRPr="004B6CD8">
              <w:t>Additional information provided by DG MARE on the implemented measures</w:t>
            </w:r>
          </w:p>
          <w:p w14:paraId="53507A74" w14:textId="0DDB3FEB" w:rsidR="009B376A" w:rsidRPr="004B6CD8" w:rsidRDefault="000F5C91" w:rsidP="00F74EAA">
            <w:pPr>
              <w:jc w:val="both"/>
              <w:rPr>
                <w:noProof/>
              </w:rPr>
            </w:pPr>
            <w:r>
              <w:rPr>
                <w:noProof/>
              </w:rPr>
              <w:t>DG MARE and the IAS agreed on a</w:t>
            </w:r>
            <w:r w:rsidR="003437FE" w:rsidRPr="004B6CD8">
              <w:rPr>
                <w:noProof/>
              </w:rPr>
              <w:t xml:space="preserve">n action plan </w:t>
            </w:r>
            <w:r>
              <w:rPr>
                <w:noProof/>
              </w:rPr>
              <w:t>in December 2025</w:t>
            </w:r>
            <w:r w:rsidR="003437FE" w:rsidRPr="004B6CD8">
              <w:rPr>
                <w:noProof/>
              </w:rPr>
              <w:t xml:space="preserve">. The implementation of </w:t>
            </w:r>
            <w:r>
              <w:rPr>
                <w:noProof/>
              </w:rPr>
              <w:t>the</w:t>
            </w:r>
            <w:r w:rsidR="003437FE" w:rsidRPr="004B6CD8">
              <w:rPr>
                <w:noProof/>
              </w:rPr>
              <w:t xml:space="preserve"> recommendations is ongoing and expected to be completed as planned by </w:t>
            </w:r>
            <w:r w:rsidR="007D6C82">
              <w:rPr>
                <w:noProof/>
              </w:rPr>
              <w:t xml:space="preserve">the </w:t>
            </w:r>
            <w:r>
              <w:rPr>
                <w:noProof/>
              </w:rPr>
              <w:t xml:space="preserve">end </w:t>
            </w:r>
            <w:r w:rsidR="007D6C82">
              <w:rPr>
                <w:noProof/>
              </w:rPr>
              <w:t xml:space="preserve">of </w:t>
            </w:r>
            <w:r w:rsidR="003437FE" w:rsidRPr="004B6CD8">
              <w:rPr>
                <w:noProof/>
              </w:rPr>
              <w:t>November 2026.</w:t>
            </w:r>
          </w:p>
        </w:tc>
      </w:tr>
    </w:tbl>
    <w:p w14:paraId="21EF5270" w14:textId="1CEDB106" w:rsidR="009B376A" w:rsidRPr="004B6CD8" w:rsidRDefault="00F74EAA" w:rsidP="00D74BE0">
      <w:pPr>
        <w:pStyle w:val="amprH3Title2-Numbered-11"/>
        <w:numPr>
          <w:ilvl w:val="1"/>
          <w:numId w:val="51"/>
        </w:numPr>
        <w:rPr>
          <w:noProof/>
        </w:rPr>
      </w:pPr>
      <w:bookmarkStart w:id="67" w:name="_Toc231235446"/>
      <w:r w:rsidRPr="004B6CD8">
        <w:rPr>
          <w:noProof/>
        </w:rPr>
        <w:t>Management of EURES and the EURES portal</w:t>
      </w:r>
      <w:r w:rsidR="000F2B8B">
        <w:rPr>
          <w:noProof/>
        </w:rPr>
        <w:t xml:space="preserve"> (DG EMPL)</w:t>
      </w:r>
      <w:bookmarkEnd w:id="67"/>
    </w:p>
    <w:p w14:paraId="74E59DC4" w14:textId="7B9D28AA" w:rsidR="00F74EAA" w:rsidRPr="004B6CD8" w:rsidRDefault="009B376A" w:rsidP="001F0DF8">
      <w:pPr>
        <w:spacing w:after="120"/>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w:t>
      </w:r>
      <w:r w:rsidR="00F74EAA" w:rsidRPr="004B6CD8">
        <w:rPr>
          <w:rFonts w:eastAsia="Calibri" w:cs="Times New Roman"/>
          <w:noProof/>
          <w:kern w:val="0"/>
          <w:lang w:val="en-GB"/>
          <w14:ligatures w14:val="none"/>
        </w:rPr>
        <w:t xml:space="preserve">objective of the audit was to assess the adequacy of the design and the effective implementation of the governance arrangements for the management of </w:t>
      </w:r>
      <w:r w:rsidR="000C49FB" w:rsidRPr="004B6CD8">
        <w:rPr>
          <w:rFonts w:eastAsia="Calibri" w:cs="Times New Roman"/>
          <w:noProof/>
          <w:kern w:val="0"/>
          <w:lang w:val="en-GB"/>
          <w14:ligatures w14:val="none"/>
        </w:rPr>
        <w:t>the EURopean Employment Services (</w:t>
      </w:r>
      <w:r w:rsidR="00F74EAA" w:rsidRPr="004B6CD8">
        <w:rPr>
          <w:rFonts w:eastAsia="Calibri" w:cs="Times New Roman"/>
          <w:noProof/>
          <w:kern w:val="0"/>
          <w:lang w:val="en-GB"/>
          <w14:ligatures w14:val="none"/>
        </w:rPr>
        <w:t>EURES</w:t>
      </w:r>
      <w:r w:rsidR="000C49FB" w:rsidRPr="004B6CD8">
        <w:rPr>
          <w:rFonts w:eastAsia="Calibri" w:cs="Times New Roman"/>
          <w:noProof/>
          <w:kern w:val="0"/>
          <w:lang w:val="en-GB"/>
          <w14:ligatures w14:val="none"/>
        </w:rPr>
        <w:t>)</w:t>
      </w:r>
      <w:r w:rsidR="00F74EAA" w:rsidRPr="004B6CD8">
        <w:rPr>
          <w:rFonts w:eastAsia="Calibri" w:cs="Times New Roman"/>
          <w:noProof/>
          <w:kern w:val="0"/>
          <w:lang w:val="en-GB"/>
          <w14:ligatures w14:val="none"/>
        </w:rPr>
        <w:t xml:space="preserve"> and the EURES portal in DG EMPL.</w:t>
      </w:r>
    </w:p>
    <w:p w14:paraId="27E25E84" w14:textId="77777777" w:rsidR="00F74EAA" w:rsidRPr="004B6CD8" w:rsidRDefault="00F74EAA" w:rsidP="001F0DF8">
      <w:pPr>
        <w:spacing w:before="120" w:after="120"/>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3250C09A" w14:textId="77777777" w:rsidR="00F74EAA" w:rsidRPr="004B6CD8" w:rsidRDefault="00F74EAA" w:rsidP="001F0DF8">
      <w:pPr>
        <w:spacing w:before="120"/>
        <w:jc w:val="both"/>
        <w:rPr>
          <w:rFonts w:cs="Times New Roman"/>
          <w:i/>
          <w:iCs/>
          <w:noProof/>
          <w:color w:val="003399" w:themeColor="text2"/>
          <w:lang w:val="en-GB"/>
        </w:rPr>
      </w:pPr>
      <w:r w:rsidRPr="004B6CD8">
        <w:rPr>
          <w:rFonts w:cs="Times New Roman"/>
          <w:i/>
          <w:iCs/>
          <w:noProof/>
          <w:color w:val="003399" w:themeColor="text2"/>
          <w:lang w:val="en-GB"/>
        </w:rPr>
        <w:t>Are the governance arrangements for the management of EURES adequately designed?</w:t>
      </w:r>
    </w:p>
    <w:p w14:paraId="5EF994D5" w14:textId="77777777" w:rsidR="00F74EAA" w:rsidRPr="004B6CD8" w:rsidRDefault="00F74EAA" w:rsidP="001F0DF8">
      <w:pPr>
        <w:spacing w:after="120"/>
        <w:jc w:val="both"/>
        <w:rPr>
          <w:rFonts w:eastAsia="Calibri" w:cs="Times New Roman"/>
          <w:noProof/>
          <w:kern w:val="0"/>
          <w:lang w:val="en-GB"/>
          <w14:ligatures w14:val="none"/>
        </w:rPr>
      </w:pPr>
      <w:r w:rsidRPr="004B6CD8">
        <w:rPr>
          <w:rFonts w:eastAsia="Calibri" w:cs="Times New Roman"/>
          <w:noProof/>
          <w:kern w:val="0"/>
          <w:lang w:val="en-GB"/>
          <w14:ligatures w14:val="none"/>
        </w:rPr>
        <w:t>DG EMPL and the European Labour Authority (ELA) put in place a number of arrangements to govern the cooperation between themselves on the management of EURES. These include principles of cooperation, referred to as the ‘operational agreement’, a handover note from DG EMPL, a Memorandum of Understanding, and other cooperation arrangements on specific areas. However, these arrangements are not always sufficiently detailed or up to date in a number of areas, including IT governance and the mandate of the IT Steering Committee. In addition, there is no formal data processing agreement in place between ELA and DG EMPL. A EURES portal strategy 2023-2030 is in place and an overall EURES strategy is being prepared, for which the approval process, according to DG EMPL, needs to be aligned with the provisions set in the EURES regulation.</w:t>
      </w:r>
    </w:p>
    <w:p w14:paraId="27CF94C2" w14:textId="77777777" w:rsidR="00F74EAA" w:rsidRPr="004B6CD8" w:rsidRDefault="00F74EAA" w:rsidP="001F0DF8">
      <w:pPr>
        <w:spacing w:before="120"/>
        <w:jc w:val="both"/>
        <w:rPr>
          <w:rFonts w:cs="Times New Roman"/>
          <w:i/>
          <w:iCs/>
          <w:noProof/>
          <w:color w:val="003399" w:themeColor="text2"/>
          <w:lang w:val="en-GB"/>
        </w:rPr>
      </w:pPr>
      <w:r w:rsidRPr="004B6CD8">
        <w:rPr>
          <w:rFonts w:cs="Times New Roman"/>
          <w:i/>
          <w:iCs/>
          <w:noProof/>
          <w:color w:val="003399" w:themeColor="text2"/>
          <w:lang w:val="en-GB"/>
        </w:rPr>
        <w:t>Are the governance arrangements for the management of EURES effectively implemented?</w:t>
      </w:r>
    </w:p>
    <w:p w14:paraId="618AA719" w14:textId="77777777" w:rsidR="00F74EAA" w:rsidRPr="004B6CD8" w:rsidRDefault="00F74EAA" w:rsidP="001F0DF8">
      <w:pPr>
        <w:spacing w:after="120"/>
        <w:jc w:val="both"/>
        <w:rPr>
          <w:rFonts w:eastAsia="Calibri" w:cs="Times New Roman"/>
          <w:noProof/>
          <w:kern w:val="0"/>
          <w:lang w:val="en-GB"/>
          <w14:ligatures w14:val="none"/>
        </w:rPr>
      </w:pPr>
      <w:r w:rsidRPr="004B6CD8">
        <w:rPr>
          <w:rFonts w:eastAsia="Calibri" w:cs="Times New Roman"/>
          <w:noProof/>
          <w:kern w:val="0"/>
          <w:lang w:val="en-GB"/>
          <w14:ligatures w14:val="none"/>
        </w:rPr>
        <w:t>DG EMPL applies the PM2 methodology for project management, however, it is not clear how this is tailored or customised to the EURES project to cover the artefacts and principles of this methodology. In addition, the system owner’s responsibilities are not clearly defined in the handover documents and operational agreement, particularly with regards to the regulations and standards that must be adhered to. A process is in place to manage business requirements between ELA and EMPL, but there is no overview of a detailed and exhaustive analysis of the business requirements, including functional, non-functional and security requirements. As a result, ELA does not have sufficient visibility or information for the prioritisation and change management processes. Furthermore, ELA does not have sufficient oversight over the technical controls provided by DG EMPL. Finally, ELA Cybersecurity Officer lacks direct access to crucial information and there is no formal agreement in place that outlines how information about the EURES portal will be shared by DG EMPL with the Cybersecurity Officer. There is no formal description of the management of the EURES budget and the related roles and responsibilities of ELA and DG EMPL. Furthermore, ELA lacks sufficient visibility on the budget spent in development and maintenance by DG EMPL as there is a lack of detailed information to analyse and optimise the IT Budget and related costs, and report to ELA management.</w:t>
      </w:r>
    </w:p>
    <w:p w14:paraId="1F395502" w14:textId="77777777" w:rsidR="00F74EAA" w:rsidRPr="004B6CD8" w:rsidRDefault="00F74EAA" w:rsidP="001F0DF8">
      <w:pPr>
        <w:spacing w:before="120"/>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757EE8EB" w14:textId="77777777" w:rsidR="00F74EAA" w:rsidRPr="004B6CD8" w:rsidRDefault="00F74EAA" w:rsidP="00F74EAA">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DG EMPL (together with ELA) has designed and effectively implemented adequate governance arrangements for the management of EURES and the EURES portal except for two very important issues concerning governance arrangements and IT project management.</w:t>
      </w:r>
    </w:p>
    <w:p w14:paraId="12F03DC7" w14:textId="77777777" w:rsidR="00127BC0" w:rsidRDefault="00127BC0">
      <w:pPr>
        <w:spacing w:before="0" w:after="160"/>
        <w:rPr>
          <w:rFonts w:cs="Times New Roman"/>
          <w:b/>
          <w:bCs/>
          <w:noProof/>
          <w:color w:val="003399" w:themeColor="text2"/>
          <w:u w:val="single"/>
          <w:lang w:val="en-GB"/>
        </w:rPr>
      </w:pPr>
      <w:r>
        <w:rPr>
          <w:rFonts w:cs="Times New Roman"/>
          <w:b/>
          <w:bCs/>
          <w:noProof/>
          <w:color w:val="003399" w:themeColor="text2"/>
          <w:u w:val="single"/>
          <w:lang w:val="en-GB"/>
        </w:rPr>
        <w:br w:type="page"/>
      </w:r>
    </w:p>
    <w:p w14:paraId="7A7B1359" w14:textId="6CABB94A"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0F3CE2F1" w14:textId="1A88F9EE" w:rsidR="009B376A" w:rsidRPr="004B6CD8" w:rsidRDefault="001771BF" w:rsidP="001F0DF8">
      <w:pPr>
        <w:spacing w:after="120"/>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1, o</w:t>
      </w:r>
      <w:r w:rsidR="009B376A" w:rsidRPr="004B6CD8">
        <w:rPr>
          <w:rFonts w:eastAsia="Calibri" w:cs="Times New Roman"/>
          <w:noProof/>
          <w:kern w:val="0"/>
          <w:lang w:val="en-GB"/>
          <w14:ligatures w14:val="none"/>
        </w:rPr>
        <w:t xml:space="preserve">n </w:t>
      </w:r>
      <w:r w:rsidR="00F74EAA" w:rsidRPr="004B6CD8">
        <w:rPr>
          <w:rFonts w:eastAsia="Calibri" w:cs="Times New Roman"/>
          <w:b/>
          <w:bCs/>
          <w:noProof/>
          <w:color w:val="003399" w:themeColor="text2"/>
          <w:kern w:val="0"/>
          <w:lang w:val="en-GB"/>
          <w14:ligatures w14:val="none"/>
        </w:rPr>
        <w:t>governance arrangements</w:t>
      </w:r>
      <w:r w:rsidR="009B376A" w:rsidRPr="004B6CD8">
        <w:rPr>
          <w:rFonts w:eastAsia="Calibri" w:cs="Times New Roman"/>
          <w:noProof/>
          <w:kern w:val="0"/>
          <w:lang w:val="en-GB"/>
          <w14:ligatures w14:val="none"/>
        </w:rPr>
        <w:t xml:space="preserve">, </w:t>
      </w:r>
      <w:r w:rsidR="009B376A" w:rsidRPr="004B6CD8">
        <w:rPr>
          <w:rFonts w:eastAsia="Calibri" w:cs="Times New Roman"/>
          <w:b/>
          <w:bCs/>
          <w:noProof/>
          <w:color w:val="003399" w:themeColor="text2"/>
          <w:kern w:val="0"/>
          <w:lang w:val="en-GB"/>
          <w14:ligatures w14:val="none"/>
        </w:rPr>
        <w:t xml:space="preserve">DG </w:t>
      </w:r>
      <w:r w:rsidR="00F74EAA" w:rsidRPr="004B6CD8">
        <w:rPr>
          <w:rFonts w:eastAsia="Calibri" w:cs="Times New Roman"/>
          <w:b/>
          <w:bCs/>
          <w:noProof/>
          <w:color w:val="003399" w:themeColor="text2"/>
          <w:kern w:val="0"/>
          <w:lang w:val="en-GB"/>
          <w14:ligatures w14:val="none"/>
        </w:rPr>
        <w:t>EMPL</w:t>
      </w:r>
      <w:r w:rsidR="009B376A" w:rsidRPr="004B6CD8">
        <w:rPr>
          <w:rFonts w:eastAsia="Calibri" w:cs="Times New Roman"/>
          <w:noProof/>
          <w:color w:val="003399" w:themeColor="text2"/>
          <w:kern w:val="0"/>
          <w:lang w:val="en-GB"/>
          <w14:ligatures w14:val="none"/>
        </w:rPr>
        <w:t xml:space="preserve"> </w:t>
      </w:r>
      <w:r w:rsidR="009B376A" w:rsidRPr="004B6CD8">
        <w:rPr>
          <w:rFonts w:eastAsia="Calibri" w:cs="Times New Roman"/>
          <w:noProof/>
          <w:kern w:val="0"/>
          <w:lang w:val="en-GB"/>
          <w14:ligatures w14:val="none"/>
        </w:rPr>
        <w:t>should:</w:t>
      </w:r>
    </w:p>
    <w:p w14:paraId="69432C89" w14:textId="4A235F8C" w:rsidR="009B376A" w:rsidRPr="004B6CD8" w:rsidRDefault="00E4094F" w:rsidP="009B376A">
      <w:pPr>
        <w:pStyle w:val="amprLISTtealbullets-L1"/>
        <w:rPr>
          <w:rFonts w:eastAsia="Calibri" w:cs="Times New Roman"/>
          <w:noProof/>
        </w:rPr>
      </w:pPr>
      <w:r w:rsidRPr="004B6CD8">
        <w:rPr>
          <w:rFonts w:eastAsia="Calibri" w:cs="Times New Roman"/>
          <w:noProof/>
        </w:rPr>
        <w:t>strengthen governance arrangements</w:t>
      </w:r>
      <w:r w:rsidR="009B376A" w:rsidRPr="004B6CD8">
        <w:rPr>
          <w:rFonts w:eastAsia="Calibri" w:cs="Times New Roman"/>
          <w:noProof/>
        </w:rPr>
        <w:t>.</w:t>
      </w:r>
    </w:p>
    <w:p w14:paraId="7970CFC1" w14:textId="13E8DBA2" w:rsidR="00E4094F" w:rsidRPr="004B6CD8" w:rsidRDefault="001771BF" w:rsidP="001F0DF8">
      <w:pPr>
        <w:spacing w:after="120"/>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B62180">
        <w:rPr>
          <w:rFonts w:eastAsia="Calibri" w:cs="Times New Roman"/>
          <w:noProof/>
          <w:kern w:val="0"/>
          <w:lang w:val="en-GB"/>
          <w14:ligatures w14:val="none"/>
        </w:rPr>
        <w:t>2, o</w:t>
      </w:r>
      <w:r w:rsidR="00E4094F" w:rsidRPr="004B6CD8">
        <w:rPr>
          <w:rFonts w:eastAsia="Calibri" w:cs="Times New Roman"/>
          <w:noProof/>
          <w:kern w:val="0"/>
          <w:lang w:val="en-GB"/>
          <w14:ligatures w14:val="none"/>
        </w:rPr>
        <w:t xml:space="preserve">n </w:t>
      </w:r>
      <w:r w:rsidR="00E4094F" w:rsidRPr="004B6CD8">
        <w:rPr>
          <w:rFonts w:eastAsia="Calibri" w:cs="Times New Roman"/>
          <w:b/>
          <w:bCs/>
          <w:noProof/>
          <w:color w:val="003399" w:themeColor="text2"/>
          <w:kern w:val="0"/>
          <w:lang w:val="en-GB"/>
          <w14:ligatures w14:val="none"/>
        </w:rPr>
        <w:t>IT project management</w:t>
      </w:r>
      <w:r w:rsidR="00E4094F" w:rsidRPr="004B6CD8">
        <w:rPr>
          <w:rFonts w:eastAsia="Calibri" w:cs="Times New Roman"/>
          <w:noProof/>
          <w:kern w:val="0"/>
          <w:lang w:val="en-GB"/>
          <w14:ligatures w14:val="none"/>
        </w:rPr>
        <w:t xml:space="preserve">, </w:t>
      </w:r>
      <w:r w:rsidR="00E4094F" w:rsidRPr="004B6CD8">
        <w:rPr>
          <w:rFonts w:eastAsia="Calibri" w:cs="Times New Roman"/>
          <w:b/>
          <w:bCs/>
          <w:noProof/>
          <w:color w:val="003399" w:themeColor="text2"/>
          <w:kern w:val="0"/>
          <w:lang w:val="en-GB"/>
          <w14:ligatures w14:val="none"/>
        </w:rPr>
        <w:t>DG EMPL</w:t>
      </w:r>
      <w:r w:rsidR="00E4094F" w:rsidRPr="004B6CD8">
        <w:rPr>
          <w:rFonts w:eastAsia="Calibri" w:cs="Times New Roman"/>
          <w:noProof/>
          <w:color w:val="003399" w:themeColor="text2"/>
          <w:kern w:val="0"/>
          <w:lang w:val="en-GB"/>
          <w14:ligatures w14:val="none"/>
        </w:rPr>
        <w:t xml:space="preserve"> </w:t>
      </w:r>
      <w:r w:rsidR="00E4094F" w:rsidRPr="004B6CD8">
        <w:rPr>
          <w:rFonts w:eastAsia="Calibri" w:cs="Times New Roman"/>
          <w:noProof/>
          <w:kern w:val="0"/>
          <w:lang w:val="en-GB"/>
          <w14:ligatures w14:val="none"/>
        </w:rPr>
        <w:t>should:</w:t>
      </w:r>
    </w:p>
    <w:p w14:paraId="6D426918" w14:textId="695B830F" w:rsidR="009B376A" w:rsidRPr="004B6CD8" w:rsidRDefault="00E4094F" w:rsidP="007D6C82">
      <w:pPr>
        <w:pStyle w:val="amprLISTtealbullets-L1"/>
        <w:spacing w:after="240"/>
        <w:ind w:left="782" w:hanging="357"/>
        <w:rPr>
          <w:rFonts w:eastAsia="Calibri" w:cs="Times New Roman"/>
          <w:noProof/>
        </w:rPr>
      </w:pPr>
      <w:r w:rsidRPr="004B6CD8">
        <w:rPr>
          <w:rFonts w:eastAsia="Calibri" w:cs="Times New Roman"/>
          <w:noProof/>
        </w:rPr>
        <w:t>strengthen IT project management.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9B376A" w:rsidRPr="007F05B2" w14:paraId="76402DE2" w14:textId="77777777">
        <w:tc>
          <w:tcPr>
            <w:tcW w:w="9057" w:type="dxa"/>
          </w:tcPr>
          <w:p w14:paraId="18E4D921" w14:textId="77777777" w:rsidR="00E4094F" w:rsidRPr="004B6CD8" w:rsidRDefault="00E4094F" w:rsidP="00E4094F">
            <w:pPr>
              <w:pStyle w:val="boldblue"/>
            </w:pPr>
            <w:r w:rsidRPr="004B6CD8">
              <w:t>Additional information provided by DG EMPL on the implemented measures</w:t>
            </w:r>
          </w:p>
          <w:p w14:paraId="0E629022" w14:textId="76792AB1" w:rsidR="009B376A" w:rsidRPr="004B6CD8" w:rsidRDefault="003437FE" w:rsidP="00E4094F">
            <w:pPr>
              <w:jc w:val="both"/>
              <w:rPr>
                <w:noProof/>
              </w:rPr>
            </w:pPr>
            <w:r w:rsidRPr="004B6CD8">
              <w:rPr>
                <w:noProof/>
              </w:rPr>
              <w:t>DG EMPL established an action plan</w:t>
            </w:r>
            <w:r w:rsidR="00DE78A6">
              <w:rPr>
                <w:noProof/>
              </w:rPr>
              <w:t xml:space="preserve"> </w:t>
            </w:r>
            <w:r w:rsidR="00DE78A6" w:rsidRPr="004B6CD8">
              <w:rPr>
                <w:noProof/>
              </w:rPr>
              <w:t>to address all audit findings</w:t>
            </w:r>
            <w:r w:rsidR="00DE78A6">
              <w:rPr>
                <w:noProof/>
              </w:rPr>
              <w:t>,</w:t>
            </w:r>
            <w:r w:rsidR="00DE78A6" w:rsidRPr="004B6CD8">
              <w:rPr>
                <w:noProof/>
              </w:rPr>
              <w:t xml:space="preserve"> </w:t>
            </w:r>
            <w:r w:rsidR="00DE78A6">
              <w:rPr>
                <w:noProof/>
              </w:rPr>
              <w:t>which was</w:t>
            </w:r>
            <w:r w:rsidR="00F260F9">
              <w:rPr>
                <w:noProof/>
              </w:rPr>
              <w:t xml:space="preserve"> </w:t>
            </w:r>
            <w:r w:rsidR="00F260F9" w:rsidRPr="00F260F9">
              <w:rPr>
                <w:noProof/>
              </w:rPr>
              <w:t>considered satisfactory by the IAS. The implementation of the recommendations has started and is on track to meet the deadlines set out in the action plan (deadlines are in 2026 and in 2027).</w:t>
            </w:r>
          </w:p>
        </w:tc>
      </w:tr>
    </w:tbl>
    <w:p w14:paraId="3A2B9A0D" w14:textId="44CC7811" w:rsidR="009B376A" w:rsidRPr="004B6CD8" w:rsidRDefault="00A655E0" w:rsidP="00D74BE0">
      <w:pPr>
        <w:pStyle w:val="amprH3Title2-Numbered-11"/>
        <w:numPr>
          <w:ilvl w:val="1"/>
          <w:numId w:val="51"/>
        </w:numPr>
        <w:rPr>
          <w:noProof/>
        </w:rPr>
      </w:pPr>
      <w:bookmarkStart w:id="68" w:name="_Toc231235447"/>
      <w:r w:rsidRPr="004B6CD8">
        <w:rPr>
          <w:noProof/>
        </w:rPr>
        <w:t>Management of in-kind contributions under Horizon Europe</w:t>
      </w:r>
      <w:r w:rsidR="000F2B8B">
        <w:rPr>
          <w:noProof/>
        </w:rPr>
        <w:t xml:space="preserve"> (DG RTD)</w:t>
      </w:r>
      <w:bookmarkEnd w:id="68"/>
    </w:p>
    <w:p w14:paraId="27112F28" w14:textId="77777777" w:rsidR="00A655E0" w:rsidRPr="004B6CD8" w:rsidRDefault="009B376A" w:rsidP="00A655E0">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w:t>
      </w:r>
      <w:r w:rsidR="00A655E0" w:rsidRPr="004B6CD8">
        <w:rPr>
          <w:rFonts w:eastAsia="Calibri" w:cs="Times New Roman"/>
          <w:noProof/>
          <w:kern w:val="0"/>
          <w:lang w:val="en-GB"/>
          <w14:ligatures w14:val="none"/>
        </w:rPr>
        <w:t>objective of the audit was to assess whether the governance, risk management and controls for the process of managing in-kind contributions under Horizon Europe in DG RTD are adequately designed, are effectively and efficiently implemented and ensure compliance with the regulatory framework.</w:t>
      </w:r>
    </w:p>
    <w:p w14:paraId="594ACD53" w14:textId="77777777" w:rsidR="00A655E0" w:rsidRPr="004B6CD8" w:rsidRDefault="00A655E0" w:rsidP="00A655E0">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25B3C10C" w14:textId="77777777" w:rsidR="00A655E0" w:rsidRPr="004B6CD8" w:rsidRDefault="00A655E0" w:rsidP="00A655E0">
      <w:pPr>
        <w:jc w:val="both"/>
        <w:rPr>
          <w:rFonts w:cs="Times New Roman"/>
          <w:i/>
          <w:iCs/>
          <w:noProof/>
          <w:color w:val="003399" w:themeColor="text2"/>
          <w:lang w:val="en-GB"/>
        </w:rPr>
      </w:pPr>
      <w:r w:rsidRPr="004B6CD8">
        <w:rPr>
          <w:rFonts w:cs="Times New Roman"/>
          <w:i/>
          <w:iCs/>
          <w:noProof/>
          <w:color w:val="003399" w:themeColor="text2"/>
          <w:lang w:val="en-GB"/>
        </w:rPr>
        <w:t>Is the control environment for the process of management of in-kind contributions adequately designed</w:t>
      </w:r>
    </w:p>
    <w:p w14:paraId="7C019F4E" w14:textId="77777777" w:rsidR="00A655E0" w:rsidRPr="004B6CD8" w:rsidRDefault="00A655E0" w:rsidP="00A655E0">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DG RTD has defined clearly the roles and responsibilities in relation to the support provided to the joint undertakings, in line with the Commission Decision on the coordinated implementation of Horizon Europe. </w:t>
      </w:r>
    </w:p>
    <w:p w14:paraId="65496B25" w14:textId="77777777" w:rsidR="00A655E0" w:rsidRPr="004B6CD8" w:rsidRDefault="00A655E0" w:rsidP="00A655E0">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DG RTD has provided methodological support to the joint undertakings for the management of the in-kind contribution process. It has organised regularly technical meetings with all joint undertakings (represented at the level of Heads of Finance and Administration), during which the in-kind contributions were recurrent topics. Moreover, DG RTD provided support to the joint undertakings when they developed their in-kind contributions to the additional activities guidance to staff and the members and provided templates to the joint undertakings for reporting on the in-kind contributions in their Annual Work Programmes and Consolidated Annual Activity Reports. </w:t>
      </w:r>
    </w:p>
    <w:p w14:paraId="4CA0555D" w14:textId="77777777" w:rsidR="00A655E0" w:rsidRPr="004B6CD8" w:rsidRDefault="00A655E0" w:rsidP="00A655E0">
      <w:pPr>
        <w:jc w:val="both"/>
        <w:rPr>
          <w:rFonts w:eastAsia="Calibri" w:cs="Times New Roman"/>
          <w:noProof/>
          <w:kern w:val="0"/>
          <w:lang w:val="en-GB"/>
          <w14:ligatures w14:val="none"/>
        </w:rPr>
      </w:pPr>
      <w:r w:rsidRPr="004B6CD8">
        <w:rPr>
          <w:rFonts w:eastAsia="Calibri" w:cs="Times New Roman"/>
          <w:noProof/>
          <w:kern w:val="0"/>
          <w:lang w:val="en-GB"/>
          <w14:ligatures w14:val="none"/>
        </w:rPr>
        <w:t>DG RTD developed the in-kind contributions to the additional activities IT tool to allow joint undertakings and partners to plan and report in-kind contributions to the additional activities inside the eGrants environment. However, a number of relevant functionalities in the corporate IT tool are still not in place and under analysis by the Common Implementation Centre. In addition, DG RTD did not develop centralised guidance documents to address the joint undertakings’ needs, leading to different practices at joint undertakings’ level in both the monitoring and the reporting on in-kind contributions.</w:t>
      </w:r>
    </w:p>
    <w:p w14:paraId="3DF7B258" w14:textId="77777777" w:rsidR="00A655E0" w:rsidRPr="004B6CD8" w:rsidRDefault="00A655E0" w:rsidP="00A655E0">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6281A079" w14:textId="77777777" w:rsidR="00A655E0" w:rsidRPr="004B6CD8" w:rsidRDefault="00A655E0" w:rsidP="00A655E0">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overall, DG RTD has provided adequate support to the joint undertakings for their management of the in-kind contributions-related processes, except for one very important issue concerning the IT support and the functionalities available in the IT tool.</w:t>
      </w:r>
    </w:p>
    <w:p w14:paraId="0A48331E" w14:textId="77777777" w:rsidR="00127BC0" w:rsidRDefault="00127BC0">
      <w:pPr>
        <w:spacing w:before="0" w:after="160"/>
        <w:rPr>
          <w:rFonts w:cs="Times New Roman"/>
          <w:b/>
          <w:bCs/>
          <w:noProof/>
          <w:color w:val="003399" w:themeColor="text2"/>
          <w:u w:val="single"/>
          <w:lang w:val="en-GB"/>
        </w:rPr>
      </w:pPr>
      <w:r>
        <w:rPr>
          <w:rFonts w:cs="Times New Roman"/>
          <w:b/>
          <w:bCs/>
          <w:noProof/>
          <w:color w:val="003399" w:themeColor="text2"/>
          <w:u w:val="single"/>
          <w:lang w:val="en-GB"/>
        </w:rPr>
        <w:br w:type="page"/>
      </w:r>
    </w:p>
    <w:p w14:paraId="2FBE8069" w14:textId="257EBDE8" w:rsidR="007E3E16" w:rsidRPr="004B6CD8" w:rsidRDefault="00521085" w:rsidP="007E3E16">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7491011F" w14:textId="205A3855" w:rsidR="001771BF" w:rsidRDefault="00A655E0" w:rsidP="00A655E0">
      <w:pPr>
        <w:jc w:val="both"/>
        <w:rPr>
          <w:rFonts w:eastAsia="Calibri" w:cs="Times New Roman"/>
          <w:noProof/>
          <w:lang w:val="en-GB"/>
        </w:rPr>
      </w:pPr>
      <w:r w:rsidRPr="004B6CD8">
        <w:rPr>
          <w:rFonts w:eastAsia="Calibri" w:cs="Times New Roman"/>
          <w:noProof/>
          <w:lang w:val="en-GB"/>
        </w:rPr>
        <w:t>Recommendation No 2</w:t>
      </w:r>
      <w:r w:rsidR="001771BF">
        <w:rPr>
          <w:rFonts w:eastAsia="Calibri" w:cs="Times New Roman"/>
          <w:noProof/>
          <w:lang w:val="en-GB"/>
        </w:rPr>
        <w:t>, on</w:t>
      </w:r>
      <w:r w:rsidR="00321E9C">
        <w:rPr>
          <w:rFonts w:eastAsia="Calibri" w:cs="Times New Roman"/>
          <w:noProof/>
          <w:lang w:val="en-GB"/>
        </w:rPr>
        <w:t xml:space="preserve"> the</w:t>
      </w:r>
      <w:r w:rsidR="001771BF">
        <w:rPr>
          <w:rFonts w:eastAsia="Calibri" w:cs="Times New Roman"/>
          <w:noProof/>
          <w:lang w:val="en-GB"/>
        </w:rPr>
        <w:t xml:space="preserve"> </w:t>
      </w:r>
      <w:r w:rsidR="001771BF" w:rsidRPr="008A53FC">
        <w:rPr>
          <w:rFonts w:eastAsia="Times New Roman" w:cs="Times New Roman"/>
          <w:b/>
          <w:bCs/>
          <w:noProof/>
          <w:color w:val="003399" w:themeColor="text2"/>
          <w:kern w:val="0"/>
          <w:szCs w:val="20"/>
          <w:lang w:val="en-GB" w:eastAsia="en-GB"/>
          <w14:ligatures w14:val="none"/>
        </w:rPr>
        <w:t>IT support to the joint undertakings</w:t>
      </w:r>
      <w:r w:rsidR="001771BF">
        <w:rPr>
          <w:rFonts w:eastAsia="Calibri" w:cs="Times New Roman"/>
          <w:noProof/>
          <w:lang w:val="en-GB"/>
        </w:rPr>
        <w:t>,</w:t>
      </w:r>
      <w:r w:rsidRPr="0028001C">
        <w:rPr>
          <w:rFonts w:eastAsia="Times New Roman" w:cs="Times New Roman"/>
          <w:b/>
          <w:noProof/>
          <w:color w:val="003399" w:themeColor="text2"/>
          <w:kern w:val="0"/>
          <w:szCs w:val="20"/>
          <w:lang w:val="en-GB" w:eastAsia="en-GB"/>
          <w14:ligatures w14:val="none"/>
        </w:rPr>
        <w:t xml:space="preserve"> </w:t>
      </w:r>
      <w:r w:rsidRPr="0028001C">
        <w:rPr>
          <w:rFonts w:eastAsia="Times New Roman" w:cs="Times New Roman"/>
          <w:b/>
          <w:noProof/>
          <w:color w:val="003399" w:themeColor="text2"/>
          <w:kern w:val="0"/>
          <w:szCs w:val="20"/>
          <w:lang w:val="en-IE" w:eastAsia="en-GB"/>
          <w14:ligatures w14:val="none"/>
        </w:rPr>
        <w:t>DG RTD</w:t>
      </w:r>
      <w:r w:rsidRPr="008A53FC">
        <w:rPr>
          <w:rFonts w:eastAsia="Times New Roman" w:cs="Times New Roman"/>
          <w:bCs/>
          <w:noProof/>
          <w:color w:val="003399" w:themeColor="text2"/>
          <w:kern w:val="0"/>
          <w:szCs w:val="20"/>
          <w:lang w:val="en-IE" w:eastAsia="en-GB"/>
          <w14:ligatures w14:val="none"/>
        </w:rPr>
        <w:t xml:space="preserve"> </w:t>
      </w:r>
      <w:r w:rsidRPr="008A53FC">
        <w:rPr>
          <w:rFonts w:eastAsia="Calibri" w:cs="Times New Roman"/>
          <w:noProof/>
          <w:lang w:val="en-IE"/>
        </w:rPr>
        <w:t>should</w:t>
      </w:r>
      <w:r w:rsidR="001771BF">
        <w:rPr>
          <w:rFonts w:eastAsia="Calibri" w:cs="Times New Roman"/>
          <w:noProof/>
          <w:lang w:val="en-GB"/>
        </w:rPr>
        <w:t>:</w:t>
      </w:r>
    </w:p>
    <w:p w14:paraId="14D59AEC" w14:textId="402FE1D5" w:rsidR="009B376A" w:rsidRPr="004B6CD8" w:rsidRDefault="00A655E0" w:rsidP="0028001C">
      <w:pPr>
        <w:pStyle w:val="amprLISTtealbullets-L1"/>
        <w:spacing w:after="240"/>
        <w:ind w:left="782" w:hanging="357"/>
        <w:rPr>
          <w:rFonts w:eastAsia="Calibri"/>
          <w:b/>
          <w:bCs/>
          <w:noProof/>
        </w:rPr>
      </w:pPr>
      <w:r w:rsidRPr="004B6CD8">
        <w:rPr>
          <w:rFonts w:eastAsia="Calibri"/>
          <w:noProof/>
        </w:rPr>
        <w:t>finalise the development of the IT tools and improve the quality of the reports.</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9B376A" w:rsidRPr="007F05B2" w14:paraId="7646CC31" w14:textId="77777777">
        <w:tc>
          <w:tcPr>
            <w:tcW w:w="9057" w:type="dxa"/>
          </w:tcPr>
          <w:p w14:paraId="3AEC7A8A" w14:textId="77777777" w:rsidR="00A655E0" w:rsidRPr="004B6CD8" w:rsidRDefault="00A655E0" w:rsidP="00A655E0">
            <w:pPr>
              <w:pStyle w:val="boldblue"/>
            </w:pPr>
            <w:r w:rsidRPr="004B6CD8">
              <w:t>Additional information provided by DG RTD on the implemented measures</w:t>
            </w:r>
          </w:p>
          <w:p w14:paraId="12AF9DD6" w14:textId="10990C86" w:rsidR="009B376A" w:rsidRPr="004E773D" w:rsidRDefault="000F5C91" w:rsidP="00E74CF3">
            <w:pPr>
              <w:jc w:val="both"/>
              <w:rPr>
                <w:noProof/>
                <w:lang w:val="en-IE"/>
              </w:rPr>
            </w:pPr>
            <w:r>
              <w:rPr>
                <w:noProof/>
              </w:rPr>
              <w:t xml:space="preserve">DG </w:t>
            </w:r>
            <w:r w:rsidR="003437FE" w:rsidRPr="004B6CD8">
              <w:rPr>
                <w:noProof/>
              </w:rPr>
              <w:t xml:space="preserve">RTD </w:t>
            </w:r>
            <w:r>
              <w:rPr>
                <w:noProof/>
              </w:rPr>
              <w:t>and the IAS agreed on an</w:t>
            </w:r>
            <w:r w:rsidR="003437FE" w:rsidRPr="004B6CD8">
              <w:rPr>
                <w:noProof/>
              </w:rPr>
              <w:t xml:space="preserve"> action plan</w:t>
            </w:r>
            <w:r>
              <w:rPr>
                <w:noProof/>
              </w:rPr>
              <w:t>.</w:t>
            </w:r>
            <w:r w:rsidR="009C6FF4">
              <w:rPr>
                <w:noProof/>
                <w:lang w:val="en-IE"/>
              </w:rPr>
              <w:t xml:space="preserve"> </w:t>
            </w:r>
            <w:r w:rsidR="00273BE2" w:rsidRPr="00291607">
              <w:rPr>
                <w:noProof/>
                <w:lang w:val="en-IE"/>
              </w:rPr>
              <w:t>As regards in-kind contributions to the additional activities (IKAA), the IT tool will include the automatic extraction of data.</w:t>
            </w:r>
            <w:r w:rsidR="00E74CF3">
              <w:rPr>
                <w:noProof/>
                <w:lang w:val="en-IE"/>
              </w:rPr>
              <w:t xml:space="preserve"> </w:t>
            </w:r>
            <w:r w:rsidR="00273BE2" w:rsidRPr="00291607">
              <w:rPr>
                <w:noProof/>
                <w:lang w:val="en-IE"/>
              </w:rPr>
              <w:t xml:space="preserve">For in-kind contributions to operational projects (IKOP), </w:t>
            </w:r>
            <w:r w:rsidR="001F1DA7" w:rsidRPr="00291607">
              <w:rPr>
                <w:noProof/>
                <w:lang w:val="en-IE"/>
              </w:rPr>
              <w:t xml:space="preserve">DG </w:t>
            </w:r>
            <w:r w:rsidR="00273BE2" w:rsidRPr="00291607">
              <w:rPr>
                <w:noProof/>
                <w:lang w:val="en-IE"/>
              </w:rPr>
              <w:t>RTD has concluded the design discussions with all the Joint Undertakings (JUs) and has planned the remaining IT improvements to simplify reporting phases by the end of the 2026.</w:t>
            </w:r>
          </w:p>
        </w:tc>
      </w:tr>
    </w:tbl>
    <w:p w14:paraId="49E3B20C" w14:textId="77777777" w:rsidR="0075089E" w:rsidRPr="004B6CD8" w:rsidRDefault="0075089E">
      <w:pPr>
        <w:rPr>
          <w:rFonts w:eastAsia="EC Square Sans Pro" w:cs="Times New Roman"/>
          <w:noProof/>
          <w:color w:val="003399" w:themeColor="text2"/>
          <w:kern w:val="0"/>
          <w:sz w:val="48"/>
          <w:szCs w:val="48"/>
          <w:lang w:val="en-GB" w:eastAsia="zh-CN"/>
          <w14:ligatures w14:val="none"/>
          <w14:stylisticSets>
            <w14:styleSet w14:id="1"/>
          </w14:stylisticSets>
        </w:rPr>
      </w:pPr>
      <w:r w:rsidRPr="004B6CD8">
        <w:rPr>
          <w:noProof/>
          <w:lang w:val="en-GB"/>
        </w:rPr>
        <w:br w:type="page"/>
      </w:r>
    </w:p>
    <w:p w14:paraId="6170DB1D" w14:textId="100FB661" w:rsidR="003C19D1" w:rsidRPr="004B6CD8" w:rsidRDefault="009B376A" w:rsidP="003C19D1">
      <w:pPr>
        <w:pStyle w:val="amprH2Title1"/>
        <w:rPr>
          <w:noProof/>
        </w:rPr>
      </w:pPr>
      <w:bookmarkStart w:id="69" w:name="_Toc231235448"/>
      <w:r w:rsidRPr="004B6CD8">
        <w:rPr>
          <w:noProof/>
        </w:rPr>
        <w:t>Support Processes</w:t>
      </w:r>
      <w:bookmarkEnd w:id="69"/>
    </w:p>
    <w:p w14:paraId="70E6085D" w14:textId="0DF4222B" w:rsidR="009B376A" w:rsidRPr="004B6CD8" w:rsidRDefault="000D5E77" w:rsidP="00D74BE0">
      <w:pPr>
        <w:pStyle w:val="amprH3Title2-Numbered-11"/>
        <w:numPr>
          <w:ilvl w:val="1"/>
          <w:numId w:val="51"/>
        </w:numPr>
        <w:rPr>
          <w:noProof/>
        </w:rPr>
      </w:pPr>
      <w:bookmarkStart w:id="70" w:name="_Toc231235449"/>
      <w:bookmarkEnd w:id="58"/>
      <w:bookmarkEnd w:id="59"/>
      <w:bookmarkEnd w:id="60"/>
      <w:bookmarkEnd w:id="61"/>
      <w:bookmarkEnd w:id="62"/>
      <w:r w:rsidRPr="004B6CD8">
        <w:rPr>
          <w:noProof/>
        </w:rPr>
        <w:t>Information technology (IT) governance and IT security management (</w:t>
      </w:r>
      <w:r w:rsidR="000F2B8B">
        <w:rPr>
          <w:noProof/>
        </w:rPr>
        <w:t xml:space="preserve">DG </w:t>
      </w:r>
      <w:r w:rsidRPr="004B6CD8">
        <w:rPr>
          <w:noProof/>
        </w:rPr>
        <w:t>DEFIS)</w:t>
      </w:r>
      <w:bookmarkEnd w:id="70"/>
    </w:p>
    <w:p w14:paraId="43DBD032" w14:textId="4C7EA44E" w:rsidR="009B376A" w:rsidRPr="004B6CD8" w:rsidRDefault="009B376A" w:rsidP="009B376A">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objective of the audit was to </w:t>
      </w:r>
      <w:r w:rsidR="000D5E77" w:rsidRPr="004B6CD8">
        <w:rPr>
          <w:rFonts w:eastAsia="Calibri" w:cs="Times New Roman"/>
          <w:noProof/>
          <w:kern w:val="0"/>
          <w:lang w:val="en-GB"/>
          <w14:ligatures w14:val="none"/>
        </w:rPr>
        <w:t>assess the adequacy of the design, and the efficiency and effectiveness of the implementation of the governance, risk management and control systems put in place by DG DEFIS for IT governance and IT security arrangements</w:t>
      </w:r>
      <w:r w:rsidRPr="004B6CD8">
        <w:rPr>
          <w:rFonts w:eastAsia="Calibri" w:cs="Times New Roman"/>
          <w:noProof/>
          <w:kern w:val="0"/>
          <w:lang w:val="en-GB"/>
          <w14:ligatures w14:val="none"/>
        </w:rPr>
        <w:t>.</w:t>
      </w:r>
    </w:p>
    <w:p w14:paraId="228C6BD9" w14:textId="77777777" w:rsidR="000D5E77" w:rsidRPr="004B6CD8" w:rsidRDefault="000D5E77" w:rsidP="000D5E77">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001234AF" w14:textId="77777777" w:rsidR="000D5E77" w:rsidRPr="004B6CD8" w:rsidRDefault="000D5E77" w:rsidP="000D5E77">
      <w:pPr>
        <w:jc w:val="both"/>
        <w:rPr>
          <w:rFonts w:cs="Times New Roman"/>
          <w:i/>
          <w:iCs/>
          <w:noProof/>
          <w:color w:val="003399" w:themeColor="text2"/>
          <w:lang w:val="en-GB"/>
        </w:rPr>
      </w:pPr>
      <w:r w:rsidRPr="004B6CD8">
        <w:rPr>
          <w:rFonts w:cs="Times New Roman"/>
          <w:i/>
          <w:iCs/>
          <w:noProof/>
          <w:color w:val="003399" w:themeColor="text2"/>
          <w:lang w:val="en-GB"/>
        </w:rPr>
        <w:t>Are DG DEFIS IT governance structures, principles, processes and practices adequately designed and implemented?</w:t>
      </w:r>
    </w:p>
    <w:p w14:paraId="557BD0AD"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DG DEFIS has made evident progress in formalising its strategic alignment by drafting and having the DG approval of a first version of the IT and digital governance document in August 2025. This document outlines the IT strategy and roles and responsibilities, demonstrating adherence to the Commission's digital strategy and cybersecurity strategy. However, the implementation was not yet fully completed at the end of the fieldwork. An IT and Digital Management Board had been designed but still needed formal launch and approval of the governance document at its first meeting (expected in December 2025). Furthermore, there was no implementation plan to translate the Commission's digital strategy into concrete, measurable objectives specific to DG DEFIS.</w:t>
      </w:r>
    </w:p>
    <w:p w14:paraId="0A01520C" w14:textId="77777777" w:rsidR="000D5E77" w:rsidRPr="004B6CD8" w:rsidRDefault="000D5E77" w:rsidP="000D5E77">
      <w:pPr>
        <w:jc w:val="both"/>
        <w:rPr>
          <w:rFonts w:cs="Times New Roman"/>
          <w:i/>
          <w:iCs/>
          <w:noProof/>
          <w:color w:val="003399" w:themeColor="text2"/>
          <w:lang w:val="en-GB"/>
        </w:rPr>
      </w:pPr>
      <w:r w:rsidRPr="004B6CD8">
        <w:rPr>
          <w:rFonts w:cs="Times New Roman"/>
          <w:i/>
          <w:iCs/>
          <w:noProof/>
          <w:color w:val="003399" w:themeColor="text2"/>
          <w:lang w:val="en-GB"/>
        </w:rPr>
        <w:t>Are IT (including security) risks defined, identified, communicated and managed appropriately to mitigate their effects on the DG DEFIS strategic objectives?</w:t>
      </w:r>
    </w:p>
    <w:p w14:paraId="6FB54543" w14:textId="349EC726"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DG DEFIS has performed regular risk assessments according to EC policies (</w:t>
      </w:r>
      <w:r w:rsidR="00FD2063" w:rsidRPr="004B6CD8">
        <w:rPr>
          <w:rFonts w:eastAsia="Calibri" w:cs="Times New Roman"/>
          <w:noProof/>
          <w:kern w:val="0"/>
          <w:lang w:val="en-GB"/>
          <w14:ligatures w14:val="none"/>
        </w:rPr>
        <w:t xml:space="preserve">IT Security Risk Management Methodology - </w:t>
      </w:r>
      <w:r w:rsidRPr="004B6CD8">
        <w:rPr>
          <w:rFonts w:eastAsia="Calibri" w:cs="Times New Roman"/>
          <w:noProof/>
          <w:kern w:val="0"/>
          <w:lang w:val="en-GB"/>
          <w14:ligatures w14:val="none"/>
        </w:rPr>
        <w:t>ITSRM2), registered risks in the governance risk control tool. System owners are actively involved in defining security plans, and residual risks are assessed and mitigated in line with defined risk level objectives. Despite these managed processes, a few issues exist, notably regarding the reporting on security measures (e.g., delayed mandatory penetration testing for DEFEND-S) which is not formally reported to the local information security officer or management, insufficient assurance on security measures applied by third parties or follow-up on exceptions.</w:t>
      </w:r>
    </w:p>
    <w:p w14:paraId="182F104E" w14:textId="77777777" w:rsidR="000D5E77" w:rsidRPr="004B6CD8" w:rsidRDefault="000D5E77" w:rsidP="000D5E77">
      <w:pPr>
        <w:jc w:val="both"/>
        <w:rPr>
          <w:rFonts w:cs="Times New Roman"/>
          <w:i/>
          <w:iCs/>
          <w:noProof/>
          <w:color w:val="003399" w:themeColor="text2"/>
          <w:lang w:val="en-GB"/>
        </w:rPr>
      </w:pPr>
      <w:r w:rsidRPr="004B6CD8">
        <w:rPr>
          <w:rFonts w:cs="Times New Roman"/>
          <w:i/>
          <w:iCs/>
          <w:noProof/>
          <w:color w:val="003399" w:themeColor="text2"/>
          <w:lang w:val="en-GB"/>
        </w:rPr>
        <w:t>Are there well-designed, effective and efficient processes in place to optimise the value contribution of IT processes, services and systems?</w:t>
      </w:r>
    </w:p>
    <w:p w14:paraId="609148A4"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The overall effectiveness and efficiency of IT processes are considered satisfactory, as the audit found no significant issues in IT governance and security management. DG DEFIS actively pursues the reuse of solutions in its digital investments. However, an area for improvement identified is the ability to monitor IT services effectively to measure the return on investment. In particular, the absence of specific performance metrics hinders the ability to assess the value derived from IT expenditure.</w:t>
      </w:r>
    </w:p>
    <w:p w14:paraId="409CA048" w14:textId="77777777" w:rsidR="000D5E77" w:rsidRPr="004B6CD8" w:rsidRDefault="000D5E77" w:rsidP="000D5E77">
      <w:pPr>
        <w:jc w:val="both"/>
        <w:rPr>
          <w:rFonts w:cs="Times New Roman"/>
          <w:i/>
          <w:iCs/>
          <w:noProof/>
          <w:color w:val="003399" w:themeColor="text2"/>
          <w:lang w:val="en-GB"/>
        </w:rPr>
      </w:pPr>
      <w:r w:rsidRPr="004B6CD8">
        <w:rPr>
          <w:rFonts w:cs="Times New Roman"/>
          <w:i/>
          <w:iCs/>
          <w:noProof/>
          <w:color w:val="003399" w:themeColor="text2"/>
          <w:lang w:val="en-GB"/>
        </w:rPr>
        <w:t>Is there an effective and efficient process in place for the IT portfolio management, to properly evaluate and prioritise IT projects, systems and services?</w:t>
      </w:r>
    </w:p>
    <w:p w14:paraId="53BDC8CA" w14:textId="44A9FC58"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DG DEFIS utilises the required centralised tool, </w:t>
      </w:r>
      <w:r w:rsidR="00ED791E" w:rsidRPr="004B6CD8">
        <w:rPr>
          <w:rFonts w:eastAsia="Calibri" w:cs="Times New Roman"/>
          <w:noProof/>
          <w:kern w:val="0"/>
          <w:lang w:val="en-GB"/>
          <w14:ligatures w14:val="none"/>
        </w:rPr>
        <w:t xml:space="preserve">Governance Information System </w:t>
      </w:r>
      <w:r w:rsidR="0009342B" w:rsidRPr="004B6CD8">
        <w:rPr>
          <w:rFonts w:eastAsia="Calibri" w:cs="Times New Roman"/>
          <w:noProof/>
          <w:kern w:val="0"/>
          <w:lang w:val="en-GB"/>
          <w14:ligatures w14:val="none"/>
        </w:rPr>
        <w:t>(</w:t>
      </w:r>
      <w:r w:rsidRPr="004B6CD8">
        <w:rPr>
          <w:rFonts w:eastAsia="Calibri" w:cs="Times New Roman"/>
          <w:noProof/>
          <w:kern w:val="0"/>
          <w:lang w:val="en-GB"/>
          <w14:ligatures w14:val="none"/>
        </w:rPr>
        <w:t>GovIS2</w:t>
      </w:r>
      <w:r w:rsidR="0009342B" w:rsidRPr="004B6CD8">
        <w:rPr>
          <w:rFonts w:eastAsia="Calibri" w:cs="Times New Roman"/>
          <w:noProof/>
          <w:kern w:val="0"/>
          <w:lang w:val="en-GB"/>
          <w14:ligatures w14:val="none"/>
        </w:rPr>
        <w:t>)</w:t>
      </w:r>
      <w:r w:rsidRPr="004B6CD8">
        <w:rPr>
          <w:rFonts w:eastAsia="Calibri" w:cs="Times New Roman"/>
          <w:noProof/>
          <w:kern w:val="0"/>
          <w:lang w:val="en-GB"/>
          <w14:ligatures w14:val="none"/>
        </w:rPr>
        <w:t>, for IT portfolio management of both projects and operational systems. The information is kept accurate and complete. The use of the Commission’s project management methodology (PM²) for all IT projects, with the required deliverables, is a key strength. DG DEFIS also benefits from having an IT portfolio manager function to ensure good coordination and communication between the business and IT functions. However, issues have been identified in the practical implementation of performance monitoring including a lack of defined metrics for operational performance of IT systems, such as answer times, availability, or the time taken to implement change requests.</w:t>
      </w:r>
    </w:p>
    <w:p w14:paraId="32CCD708" w14:textId="77777777" w:rsidR="000D5E77" w:rsidRPr="004B6CD8" w:rsidRDefault="000D5E77" w:rsidP="000D5E77">
      <w:pPr>
        <w:jc w:val="both"/>
        <w:rPr>
          <w:rFonts w:cs="Times New Roman"/>
          <w:i/>
          <w:iCs/>
          <w:noProof/>
          <w:color w:val="003399" w:themeColor="text2"/>
          <w:lang w:val="en-GB"/>
        </w:rPr>
      </w:pPr>
      <w:r w:rsidRPr="004B6CD8">
        <w:rPr>
          <w:rFonts w:cs="Times New Roman"/>
          <w:i/>
          <w:iCs/>
          <w:noProof/>
          <w:color w:val="003399" w:themeColor="text2"/>
          <w:lang w:val="en-GB"/>
        </w:rPr>
        <w:t>Are the available resources assessed and optimised?</w:t>
      </w:r>
    </w:p>
    <w:p w14:paraId="77622C17"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The IT competencies and qualifications are appropriate and maintained. DG DEFIS has limited IT staff resources but provides staff backup. The concentration of responsibilities and tasks among the same people in key governance roles poses a risk and requires the reconsideration of role assignments. Having only two members dedicated to the Information Resource Management presents a challenge to optimise resource management and ensure operational continuity, particularly when key personnel are unavailable.</w:t>
      </w:r>
    </w:p>
    <w:p w14:paraId="0C425490" w14:textId="77777777" w:rsidR="000D5E77" w:rsidRPr="004B6CD8" w:rsidRDefault="000D5E77" w:rsidP="000D5E77">
      <w:pPr>
        <w:jc w:val="both"/>
        <w:rPr>
          <w:rFonts w:cs="Times New Roman"/>
          <w:i/>
          <w:iCs/>
          <w:noProof/>
          <w:color w:val="003399" w:themeColor="text2"/>
          <w:lang w:val="en-GB"/>
        </w:rPr>
      </w:pPr>
      <w:r w:rsidRPr="004B6CD8">
        <w:rPr>
          <w:rFonts w:cs="Times New Roman"/>
          <w:i/>
          <w:iCs/>
          <w:noProof/>
          <w:color w:val="003399" w:themeColor="text2"/>
          <w:lang w:val="en-GB"/>
        </w:rPr>
        <w:t>Has DG DEFIS designed and implemented a comprehensive IT security management framework?</w:t>
      </w:r>
    </w:p>
    <w:p w14:paraId="67B2C27F"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DG DEFIS shows significant maturity in its security posture, achieving a ‘low risk, high maturity’ label in the cybersecurity maturity yearly assessment done by DG DIGIT in both 2023 and 2024. The inventory and ownership of IT assets are satisfactorily managed using GovIS2, and eight out of ten IT systems have up-to-date security plans. Roles, responsibilities and processes are effectively implemented to control and monitor the implementation and operation of information security within the DG. Despite these strengths, the governance framework remains incomplete. There is a lack of a formal procedure for handling security incidents specifically at the DG DEFIS level. At the time of the audit, there was no process in place for performing a business impact assessment to determine system security classification, which is essential for defining security needs. The audit found that IT security plans were not always updated upon major changes, that the maximum tolerable period of disruption was misaligned with the availability levels of systems in the sample and mitigating measures may not be implemented or may be delayed without residual risk being reported to management.</w:t>
      </w:r>
    </w:p>
    <w:p w14:paraId="4FDC6617" w14:textId="77777777" w:rsidR="000D5E77" w:rsidRPr="004B6CD8" w:rsidRDefault="000D5E77" w:rsidP="000D5E77">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55456608"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overall, the governance, risk management and control system put in place by DG DEFIS with regard to IT governance and IT security arrangements is adequately designed and efficiently and effectively implemented except for one very important issue related to aligning business needs and recovery expectations, maintaining IT security plans and formalising processes about incident and user access management.</w:t>
      </w:r>
    </w:p>
    <w:p w14:paraId="68D0A408" w14:textId="482BD93E" w:rsidR="000F184D" w:rsidRPr="004B6CD8" w:rsidRDefault="00521085" w:rsidP="000F184D">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32D48195" w14:textId="3A1AF22F" w:rsidR="007F40BB" w:rsidRDefault="000D5E77" w:rsidP="000D5E77">
      <w:pPr>
        <w:jc w:val="both"/>
        <w:rPr>
          <w:rFonts w:eastAsia="Times New Roman" w:cs="Times New Roman"/>
          <w:b/>
          <w:bCs/>
          <w:noProof/>
          <w:color w:val="003399" w:themeColor="text2"/>
          <w:kern w:val="0"/>
          <w:szCs w:val="20"/>
          <w:lang w:val="en-GB" w:eastAsia="en-GB"/>
          <w14:ligatures w14:val="none"/>
        </w:rPr>
      </w:pPr>
      <w:r w:rsidRPr="004B6CD8">
        <w:rPr>
          <w:rFonts w:eastAsia="Calibri" w:cs="Times New Roman"/>
          <w:noProof/>
          <w:lang w:val="en-GB"/>
        </w:rPr>
        <w:t>Recommendation No 4</w:t>
      </w:r>
      <w:r w:rsidR="007F40BB">
        <w:rPr>
          <w:rFonts w:eastAsia="Calibri" w:cs="Times New Roman"/>
          <w:noProof/>
          <w:lang w:val="en-GB"/>
        </w:rPr>
        <w:t xml:space="preserve">, on the </w:t>
      </w:r>
      <w:r w:rsidR="007F40BB" w:rsidRPr="008A53FC">
        <w:rPr>
          <w:rFonts w:eastAsia="Times New Roman" w:cs="Times New Roman"/>
          <w:b/>
          <w:bCs/>
          <w:noProof/>
          <w:color w:val="003399" w:themeColor="text2"/>
          <w:kern w:val="0"/>
          <w:szCs w:val="20"/>
          <w:lang w:val="en-GB" w:eastAsia="en-GB"/>
          <w14:ligatures w14:val="none"/>
        </w:rPr>
        <w:t>IT security management framework,</w:t>
      </w:r>
      <w:r w:rsidRPr="008A53FC">
        <w:rPr>
          <w:rFonts w:eastAsia="Times New Roman" w:cs="Times New Roman"/>
          <w:b/>
          <w:bCs/>
          <w:noProof/>
          <w:color w:val="003399" w:themeColor="text2"/>
          <w:kern w:val="0"/>
          <w:szCs w:val="20"/>
          <w:lang w:val="en-GB" w:eastAsia="en-GB"/>
          <w14:ligatures w14:val="none"/>
        </w:rPr>
        <w:t xml:space="preserve"> </w:t>
      </w:r>
      <w:r w:rsidRPr="008A53FC">
        <w:rPr>
          <w:rFonts w:eastAsia="Times New Roman" w:cs="Times New Roman"/>
          <w:b/>
          <w:noProof/>
          <w:color w:val="003399" w:themeColor="text2"/>
          <w:kern w:val="0"/>
          <w:szCs w:val="20"/>
          <w:lang w:val="en-IE" w:eastAsia="en-GB"/>
          <w14:ligatures w14:val="none"/>
        </w:rPr>
        <w:t>DG DEFI</w:t>
      </w:r>
      <w:r w:rsidR="007F40BB">
        <w:rPr>
          <w:rFonts w:eastAsia="Times New Roman" w:cs="Times New Roman"/>
          <w:b/>
          <w:bCs/>
          <w:noProof/>
          <w:color w:val="003399" w:themeColor="text2"/>
          <w:kern w:val="0"/>
          <w:szCs w:val="20"/>
          <w:lang w:val="en-GB" w:eastAsia="en-GB"/>
          <w14:ligatures w14:val="none"/>
        </w:rPr>
        <w:t>S</w:t>
      </w:r>
      <w:r w:rsidRPr="008A53FC">
        <w:rPr>
          <w:rFonts w:eastAsia="Times New Roman" w:cs="Times New Roman"/>
          <w:bCs/>
          <w:noProof/>
          <w:color w:val="003399" w:themeColor="text2"/>
          <w:kern w:val="0"/>
          <w:szCs w:val="20"/>
          <w:lang w:val="en-IE" w:eastAsia="en-GB"/>
          <w14:ligatures w14:val="none"/>
        </w:rPr>
        <w:t xml:space="preserve"> </w:t>
      </w:r>
      <w:r w:rsidRPr="008A53FC">
        <w:rPr>
          <w:rFonts w:eastAsia="Calibri" w:cs="Times New Roman"/>
          <w:noProof/>
          <w:kern w:val="0"/>
          <w:lang w:val="en-IE"/>
          <w14:ligatures w14:val="none"/>
        </w:rPr>
        <w:t>should</w:t>
      </w:r>
      <w:r w:rsidR="007F40BB" w:rsidRPr="008A53FC">
        <w:rPr>
          <w:rFonts w:eastAsia="Times New Roman" w:cs="Times New Roman"/>
          <w:bCs/>
          <w:noProof/>
          <w:color w:val="003399" w:themeColor="text2"/>
          <w:kern w:val="0"/>
          <w:szCs w:val="20"/>
          <w:lang w:val="en-IE" w:eastAsia="en-GB"/>
          <w14:ligatures w14:val="none"/>
        </w:rPr>
        <w:t>:</w:t>
      </w:r>
    </w:p>
    <w:p w14:paraId="3DC59836" w14:textId="0AEFF69C" w:rsidR="009B376A" w:rsidRPr="004B6CD8" w:rsidRDefault="000D5E77" w:rsidP="0028001C">
      <w:pPr>
        <w:pStyle w:val="amprLISTtealbullets-L1"/>
        <w:spacing w:after="240"/>
        <w:ind w:left="782" w:hanging="357"/>
        <w:rPr>
          <w:rFonts w:eastAsia="Calibri"/>
          <w:noProof/>
        </w:rPr>
      </w:pPr>
      <w:r w:rsidRPr="004B6CD8">
        <w:rPr>
          <w:rFonts w:eastAsia="Calibri"/>
          <w:noProof/>
        </w:rPr>
        <w:t>strengthen IT security management framework</w:t>
      </w:r>
      <w:r w:rsidR="006A5808" w:rsidRPr="004B6CD8">
        <w:rPr>
          <w:rFonts w:eastAsia="Calibri"/>
          <w:noProof/>
        </w:rPr>
        <w:t>.</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9B376A" w:rsidRPr="007F05B2" w14:paraId="140696BB" w14:textId="77777777">
        <w:tc>
          <w:tcPr>
            <w:tcW w:w="9057" w:type="dxa"/>
          </w:tcPr>
          <w:p w14:paraId="6F0789AE" w14:textId="77777777" w:rsidR="000D5E77" w:rsidRPr="004B6CD8" w:rsidRDefault="000D5E77" w:rsidP="000D5E77">
            <w:pPr>
              <w:pStyle w:val="boldblue"/>
            </w:pPr>
            <w:r w:rsidRPr="004B6CD8">
              <w:t>Additional information provided by DG DEFIS on the implemented measures</w:t>
            </w:r>
          </w:p>
          <w:p w14:paraId="53FC6048" w14:textId="10F47693" w:rsidR="009B376A" w:rsidRPr="004B6CD8" w:rsidRDefault="004900F4" w:rsidP="000D5E77">
            <w:pPr>
              <w:jc w:val="both"/>
              <w:rPr>
                <w:noProof/>
              </w:rPr>
            </w:pPr>
            <w:r>
              <w:rPr>
                <w:noProof/>
              </w:rPr>
              <w:t xml:space="preserve">DG DEFIS and the IAS agreed on an </w:t>
            </w:r>
            <w:r w:rsidR="00C6366A" w:rsidRPr="00C6366A">
              <w:rPr>
                <w:noProof/>
              </w:rPr>
              <w:t>action plan in January 2026. The implementation is ongoing with tentative completion by September 2026. It entails: a) performing business impact assessments to define business criticality and recovery objectives; b) a review of system availability classification, and an update of the IT security plans to ensure alignment with business requirements; c) establishing a process to review the security plans annually, and for ad-hoc updates following major system changes; d) defining a DG system-specific incident management and escalation procedure; e) the implementation of a systematic process for the regular review and revocation of user access rights for all DG DEFIS-owned systems, with particular focus on critical systems.</w:t>
            </w:r>
          </w:p>
        </w:tc>
      </w:tr>
    </w:tbl>
    <w:p w14:paraId="0569DBC2" w14:textId="360BE627" w:rsidR="009B376A" w:rsidRPr="004B6CD8" w:rsidRDefault="000D5E77" w:rsidP="00D74BE0">
      <w:pPr>
        <w:pStyle w:val="amprH3Title2-Numbered-11"/>
        <w:numPr>
          <w:ilvl w:val="1"/>
          <w:numId w:val="51"/>
        </w:numPr>
        <w:rPr>
          <w:noProof/>
        </w:rPr>
      </w:pPr>
      <w:bookmarkStart w:id="71" w:name="_Toc231235450"/>
      <w:r w:rsidRPr="004B6CD8">
        <w:rPr>
          <w:noProof/>
        </w:rPr>
        <w:t>Arachne+ project</w:t>
      </w:r>
      <w:r w:rsidR="000F2B8B">
        <w:rPr>
          <w:noProof/>
        </w:rPr>
        <w:t xml:space="preserve"> (DG BUDG, DG EMPL/DG REGIO, DG DIGIT)</w:t>
      </w:r>
      <w:bookmarkEnd w:id="71"/>
    </w:p>
    <w:p w14:paraId="5E7BA182" w14:textId="2685B610" w:rsidR="000D5E77" w:rsidRPr="004B6CD8" w:rsidRDefault="009B376A"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w:t>
      </w:r>
      <w:r w:rsidR="000D5E77" w:rsidRPr="004B6CD8">
        <w:rPr>
          <w:rFonts w:eastAsia="Calibri" w:cs="Times New Roman"/>
          <w:noProof/>
          <w:kern w:val="0"/>
          <w:lang w:val="en-GB"/>
          <w14:ligatures w14:val="none"/>
        </w:rPr>
        <w:t>objective of the audit was to assess whether DG BUDG, DG EMPL/DG REGIO (</w:t>
      </w:r>
      <w:r w:rsidR="0009342B" w:rsidRPr="004B6CD8">
        <w:rPr>
          <w:rFonts w:eastAsia="Calibri" w:cs="Times New Roman"/>
          <w:noProof/>
          <w:kern w:val="0"/>
          <w:lang w:val="en-GB"/>
          <w14:ligatures w14:val="none"/>
        </w:rPr>
        <w:t xml:space="preserve">Joint Audit Directorate </w:t>
      </w:r>
      <w:r w:rsidR="000D5E77" w:rsidRPr="004B6CD8">
        <w:rPr>
          <w:rFonts w:eastAsia="Calibri" w:cs="Times New Roman"/>
          <w:noProof/>
          <w:kern w:val="0"/>
          <w:lang w:val="en-GB"/>
          <w14:ligatures w14:val="none"/>
        </w:rPr>
        <w:t xml:space="preserve">DAC) and DG DIGIT had put in place appropriate governance, risk management and control processes to: </w:t>
      </w:r>
    </w:p>
    <w:p w14:paraId="47EFD2BD" w14:textId="031D1824" w:rsidR="000D5E77" w:rsidRPr="004B6CD8" w:rsidRDefault="000D5E77" w:rsidP="00160480">
      <w:pPr>
        <w:pStyle w:val="amprLISTtealbullets-L1"/>
        <w:rPr>
          <w:rFonts w:eastAsia="Calibri"/>
          <w:noProof/>
        </w:rPr>
      </w:pPr>
      <w:r w:rsidRPr="004B6CD8">
        <w:rPr>
          <w:rFonts w:eastAsia="Calibri"/>
          <w:noProof/>
        </w:rPr>
        <w:t xml:space="preserve">deliver the Arachne+ project - phase 2 effectively, </w:t>
      </w:r>
    </w:p>
    <w:p w14:paraId="567486AF" w14:textId="76A6544E" w:rsidR="000D5E77" w:rsidRPr="004B6CD8" w:rsidRDefault="000D5E77" w:rsidP="00160480">
      <w:pPr>
        <w:pStyle w:val="amprLISTtealbullets-L1"/>
        <w:rPr>
          <w:rFonts w:eastAsia="Calibri"/>
          <w:noProof/>
        </w:rPr>
      </w:pPr>
      <w:r w:rsidRPr="004B6CD8">
        <w:rPr>
          <w:rFonts w:eastAsia="Calibri"/>
          <w:noProof/>
        </w:rPr>
        <w:t xml:space="preserve">achieve the strategic objectives and business expectations within the allocated time and resources, and </w:t>
      </w:r>
    </w:p>
    <w:p w14:paraId="4F5FC23D" w14:textId="27204033" w:rsidR="00081853" w:rsidRDefault="000D5E77" w:rsidP="00160480">
      <w:pPr>
        <w:pStyle w:val="amprLISTtealbullets-L1"/>
        <w:rPr>
          <w:rFonts w:eastAsia="Calibri"/>
          <w:noProof/>
        </w:rPr>
      </w:pPr>
      <w:r w:rsidRPr="004B6CD8">
        <w:rPr>
          <w:rFonts w:eastAsia="Calibri"/>
          <w:noProof/>
        </w:rPr>
        <w:t>be in compliance with the Commission’s security and personal data protection framework.</w:t>
      </w:r>
    </w:p>
    <w:p w14:paraId="27AB6FC2" w14:textId="77777777" w:rsidR="000D5E77" w:rsidRPr="004B6CD8" w:rsidRDefault="000D5E77" w:rsidP="000D5E77">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76EB37E5" w14:textId="77777777" w:rsidR="000D5E77" w:rsidRPr="004B6CD8" w:rsidRDefault="000D5E77" w:rsidP="000D5E77">
      <w:pPr>
        <w:jc w:val="both"/>
        <w:rPr>
          <w:rFonts w:cs="Times New Roman"/>
          <w:i/>
          <w:iCs/>
          <w:noProof/>
          <w:color w:val="003399" w:themeColor="text2"/>
          <w:lang w:val="en-GB"/>
        </w:rPr>
      </w:pPr>
      <w:r w:rsidRPr="004B6CD8">
        <w:rPr>
          <w:rFonts w:cs="Times New Roman"/>
          <w:i/>
          <w:iCs/>
          <w:noProof/>
          <w:color w:val="003399" w:themeColor="text2"/>
          <w:lang w:val="en-GB"/>
        </w:rPr>
        <w:t>Were adequate governance and risk management processes and structures in place for the management of the Arachne + project, phase 2, including planning, managing resources, risks and changes, monitoring and reporting of project performance?</w:t>
      </w:r>
    </w:p>
    <w:p w14:paraId="38CC44E7"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Governance roles, responsibilities, key processes and high-level objectives had been established for Arachne+ through a project charter and other supporting documents. However, even though the Steering Committee had regular meetings, the Supervisory Board had never met. The staffing of the project team was not aligned with the project plan and no dedicated cross-cutting group to validate business requirements and to support the project owner had been established. </w:t>
      </w:r>
    </w:p>
    <w:p w14:paraId="0F7C1D60"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Though project scope, objectives and success criteria were defined at a high level, and more detailed business requirements had been defined for phase 2, these were not specific enough. This was primarily due to the absence of an established baseline for phase 2, clear requirements, acceptance criteria and criteria for the IT system ‘go-live’. Additionally, the ongoing process for collecting needs lacked appropriate prioritisation of the work remaining to be performed, taking into account the impact on the business. There was also a lack of appropriate involvement and approval of all relevant internal and external stakeholders. Although several registers (requirements traceability documents) had been created to support the definition and monitoring of the requirements for implementation, it was not possible for the auditors to trace and link all the requirements through these registers. </w:t>
      </w:r>
    </w:p>
    <w:p w14:paraId="277F9BFB"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Besides, whilst the risks were being regularly discussed in the Steering Committee meetings, a complete and up-to-date log of risks, changes, issues and decisions had not been established. As a result, there was no formal and documented discussion and decision for certain changes. </w:t>
      </w:r>
    </w:p>
    <w:p w14:paraId="658FB72F"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Finally, although the project progress (in terms of achievements and ongoing activities) was reported in every governance or operational meeting, this reporting did not allow to assess the progress made compared to the established baseline (planned vs remaining), which is necessary to be able to identify potential risks of delay. </w:t>
      </w:r>
    </w:p>
    <w:p w14:paraId="55737F75" w14:textId="77777777" w:rsidR="000D5E77" w:rsidRPr="004B6CD8" w:rsidRDefault="000D5E77" w:rsidP="000D5E77">
      <w:pPr>
        <w:jc w:val="both"/>
        <w:rPr>
          <w:rFonts w:cs="Times New Roman"/>
          <w:i/>
          <w:iCs/>
          <w:noProof/>
          <w:color w:val="003399" w:themeColor="text2"/>
          <w:lang w:val="en-GB"/>
        </w:rPr>
      </w:pPr>
      <w:r w:rsidRPr="004B6CD8">
        <w:rPr>
          <w:rFonts w:cs="Times New Roman"/>
          <w:i/>
          <w:iCs/>
          <w:noProof/>
          <w:color w:val="003399" w:themeColor="text2"/>
          <w:lang w:val="en-GB"/>
        </w:rPr>
        <w:t>Were adequate controls in place to support the effective IT project management and software development for Arachne + phase 2?</w:t>
      </w:r>
    </w:p>
    <w:p w14:paraId="4AED8F3C"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In general, IT project management and software development practices had been established. However, many artefacts were either insufficiently documented or not created at all, and some defined processes were only partially implemented or not implemented at all (e.g. the user acceptance testing process lacked test cases, and quality management practices were not implemented as defined). </w:t>
      </w:r>
    </w:p>
    <w:p w14:paraId="169CC193"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Regarding IT security, the Arachne+ team had performed the business impact assessment and the risk assessment in line with the established Commission framework. However, the business impact assessment results were not adequately supported by sufficient information to provide for a more fact-based assessment.</w:t>
      </w:r>
    </w:p>
    <w:p w14:paraId="16BAD08A" w14:textId="77777777" w:rsidR="000D5E77" w:rsidRPr="004B6CD8" w:rsidRDefault="000D5E77" w:rsidP="000D5E77">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17DEF116" w14:textId="7C9CA10E" w:rsidR="00081853"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the governance, risk management and control processes put in place by DG BUDG, as system owner, with the support of DG EMPL/DG REGIO (DAC) and DG DIGIT, were not appropriate to deliver the Arachne+ project phase 2 effectively and to achieve the strategic objectives and business expectations for the overall project within the allocated time and resources. IT security and personal data protection control processes were compliant with the Commission’s process steps, though significant improvements are necessary as regards the quality of IT security artefacts.</w:t>
      </w:r>
    </w:p>
    <w:p w14:paraId="5A82C2B0" w14:textId="7A5F0020" w:rsidR="009B376A" w:rsidRPr="004B6CD8" w:rsidRDefault="00521085" w:rsidP="000D5E77">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6573C2C3" w14:textId="602C189F" w:rsidR="009B376A" w:rsidRPr="004B6CD8" w:rsidRDefault="00CF6509" w:rsidP="009B376A">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7F40BB">
        <w:rPr>
          <w:rFonts w:eastAsia="Calibri" w:cs="Times New Roman"/>
          <w:noProof/>
          <w:kern w:val="0"/>
          <w:lang w:val="en-GB"/>
          <w14:ligatures w14:val="none"/>
        </w:rPr>
        <w:t>1, 2 and 3, o</w:t>
      </w:r>
      <w:r w:rsidR="009B376A" w:rsidRPr="004B6CD8">
        <w:rPr>
          <w:rFonts w:eastAsia="Calibri" w:cs="Times New Roman"/>
          <w:noProof/>
          <w:kern w:val="0"/>
          <w:lang w:val="en-GB"/>
          <w14:ligatures w14:val="none"/>
        </w:rPr>
        <w:t xml:space="preserve">n </w:t>
      </w:r>
      <w:r w:rsidR="000D5E77" w:rsidRPr="004B6CD8">
        <w:rPr>
          <w:rFonts w:eastAsia="Calibri" w:cs="Times New Roman"/>
          <w:b/>
          <w:bCs/>
          <w:noProof/>
          <w:color w:val="003399" w:themeColor="text2"/>
          <w:kern w:val="0"/>
          <w:lang w:val="en-GB"/>
          <w14:ligatures w14:val="none"/>
        </w:rPr>
        <w:t>project governance, monitoring and reporting</w:t>
      </w:r>
      <w:r w:rsidR="00A6459F">
        <w:rPr>
          <w:rFonts w:eastAsia="Calibri" w:cs="Times New Roman"/>
          <w:noProof/>
          <w:kern w:val="0"/>
          <w:lang w:val="en-GB"/>
          <w14:ligatures w14:val="none"/>
        </w:rPr>
        <w:t>:</w:t>
      </w:r>
      <w:r w:rsidR="009B376A" w:rsidRPr="004B6CD8">
        <w:rPr>
          <w:rFonts w:eastAsia="Calibri" w:cs="Times New Roman"/>
          <w:noProof/>
          <w:kern w:val="0"/>
          <w:lang w:val="en-GB"/>
          <w14:ligatures w14:val="none"/>
        </w:rPr>
        <w:t xml:space="preserve"> </w:t>
      </w:r>
    </w:p>
    <w:p w14:paraId="09A5CD87" w14:textId="230FDB48" w:rsidR="009B376A" w:rsidRPr="004B6CD8" w:rsidRDefault="00A6459F" w:rsidP="009B376A">
      <w:pPr>
        <w:pStyle w:val="amprLISTtealbullets-L1"/>
        <w:rPr>
          <w:rFonts w:eastAsia="Calibri" w:cs="Times New Roman"/>
          <w:noProof/>
        </w:rPr>
      </w:pPr>
      <w:r w:rsidRPr="004B6CD8">
        <w:rPr>
          <w:rFonts w:eastAsia="Calibri" w:cs="Times New Roman"/>
          <w:b/>
          <w:bCs/>
          <w:noProof/>
          <w:color w:val="003399" w:themeColor="text2"/>
        </w:rPr>
        <w:t>DG BUDG</w:t>
      </w:r>
      <w:r w:rsidRPr="004B6CD8">
        <w:rPr>
          <w:rFonts w:eastAsia="Calibri" w:cs="Times New Roman"/>
          <w:noProof/>
          <w:color w:val="003399" w:themeColor="text2"/>
        </w:rPr>
        <w:t xml:space="preserve"> </w:t>
      </w:r>
      <w:r w:rsidRPr="004B6CD8">
        <w:rPr>
          <w:rFonts w:eastAsia="Calibri" w:cs="Times New Roman"/>
          <w:noProof/>
        </w:rPr>
        <w:t>should</w:t>
      </w:r>
      <w:r>
        <w:rPr>
          <w:rFonts w:eastAsia="Calibri" w:cs="Times New Roman"/>
          <w:noProof/>
        </w:rPr>
        <w:t xml:space="preserve"> </w:t>
      </w:r>
      <w:r w:rsidR="000D5E77" w:rsidRPr="004B6CD8">
        <w:rPr>
          <w:rFonts w:eastAsia="Calibri" w:cs="Times New Roman"/>
          <w:noProof/>
        </w:rPr>
        <w:t>strengthen project governance, monitoring and reporting</w:t>
      </w:r>
      <w:r w:rsidR="009B376A" w:rsidRPr="004B6CD8">
        <w:rPr>
          <w:rFonts w:eastAsia="Calibri" w:cs="Times New Roman"/>
          <w:noProof/>
        </w:rPr>
        <w:t>.</w:t>
      </w:r>
    </w:p>
    <w:p w14:paraId="26DA58E1" w14:textId="615BE45A" w:rsidR="000D5E77" w:rsidRPr="004B6CD8" w:rsidRDefault="00A6459F" w:rsidP="000D5E77">
      <w:pPr>
        <w:pStyle w:val="amprLISTtealbullets-L1"/>
        <w:rPr>
          <w:rFonts w:eastAsia="Calibri" w:cs="Times New Roman"/>
          <w:noProof/>
        </w:rPr>
      </w:pPr>
      <w:r w:rsidRPr="004B6CD8">
        <w:rPr>
          <w:rFonts w:eastAsia="Calibri" w:cs="Times New Roman"/>
          <w:b/>
          <w:bCs/>
          <w:noProof/>
          <w:color w:val="003399" w:themeColor="text2"/>
        </w:rPr>
        <w:t>DG EMPL</w:t>
      </w:r>
      <w:r w:rsidR="007F40BB">
        <w:rPr>
          <w:rFonts w:eastAsia="Calibri" w:cs="Times New Roman"/>
          <w:b/>
          <w:bCs/>
          <w:noProof/>
          <w:color w:val="003399" w:themeColor="text2"/>
        </w:rPr>
        <w:t>/DG REGIO</w:t>
      </w:r>
      <w:r w:rsidRPr="004B6CD8">
        <w:rPr>
          <w:rFonts w:eastAsia="Calibri" w:cs="Times New Roman"/>
          <w:noProof/>
          <w:color w:val="003399" w:themeColor="text2"/>
        </w:rPr>
        <w:t xml:space="preserve"> </w:t>
      </w:r>
      <w:r w:rsidRPr="004B6CD8">
        <w:rPr>
          <w:rFonts w:eastAsia="Calibri" w:cs="Times New Roman"/>
          <w:noProof/>
        </w:rPr>
        <w:t>should</w:t>
      </w:r>
      <w:r>
        <w:rPr>
          <w:rFonts w:eastAsia="Calibri" w:cs="Times New Roman"/>
          <w:noProof/>
        </w:rPr>
        <w:t xml:space="preserve"> </w:t>
      </w:r>
      <w:r w:rsidR="000D5E77" w:rsidRPr="004B6CD8">
        <w:rPr>
          <w:rFonts w:eastAsia="Calibri" w:cs="Times New Roman"/>
          <w:noProof/>
        </w:rPr>
        <w:t>continue support to project owner to strengthen project governance, monitoring and reporting throughout phase 2.</w:t>
      </w:r>
    </w:p>
    <w:p w14:paraId="6A230EB2" w14:textId="700E6FB0" w:rsidR="000D5E77" w:rsidRPr="004B6CD8" w:rsidRDefault="000D5E77" w:rsidP="007F40BB">
      <w:pPr>
        <w:pStyle w:val="amprLISTtealbullets-L1"/>
        <w:rPr>
          <w:rFonts w:eastAsia="Calibri"/>
          <w:noProof/>
        </w:rPr>
      </w:pPr>
      <w:r w:rsidRPr="008A53FC">
        <w:rPr>
          <w:rFonts w:eastAsia="Calibri"/>
          <w:b/>
          <w:bCs/>
          <w:noProof/>
          <w:color w:val="003399" w:themeColor="text2"/>
        </w:rPr>
        <w:t>DG</w:t>
      </w:r>
      <w:r w:rsidRPr="004B6CD8">
        <w:rPr>
          <w:rFonts w:eastAsia="Calibri"/>
          <w:noProof/>
        </w:rPr>
        <w:t xml:space="preserve"> </w:t>
      </w:r>
      <w:r w:rsidRPr="008A53FC">
        <w:rPr>
          <w:rFonts w:eastAsia="Calibri" w:cs="Times New Roman"/>
          <w:b/>
          <w:bCs/>
          <w:noProof/>
          <w:color w:val="003399" w:themeColor="text2"/>
        </w:rPr>
        <w:t>DIGIT</w:t>
      </w:r>
      <w:r w:rsidRPr="004B6CD8">
        <w:rPr>
          <w:rFonts w:eastAsia="Calibri"/>
          <w:noProof/>
        </w:rPr>
        <w:t xml:space="preserve"> should</w:t>
      </w:r>
      <w:r w:rsidR="007F40BB">
        <w:rPr>
          <w:rFonts w:eastAsia="Calibri"/>
          <w:noProof/>
        </w:rPr>
        <w:t xml:space="preserve"> </w:t>
      </w:r>
      <w:r w:rsidRPr="004B6CD8">
        <w:rPr>
          <w:rFonts w:eastAsia="Calibri"/>
          <w:noProof/>
        </w:rPr>
        <w:t>support project owner from the solution provider’s perspective.</w:t>
      </w:r>
    </w:p>
    <w:p w14:paraId="38CA6592" w14:textId="74DFA606" w:rsidR="009B376A" w:rsidRPr="004B6CD8" w:rsidRDefault="00CF6509" w:rsidP="009B376A">
      <w:pPr>
        <w:jc w:val="both"/>
        <w:rPr>
          <w:rFonts w:eastAsia="Calibri" w:cs="Times New Roman"/>
          <w:noProof/>
          <w:kern w:val="0"/>
          <w:lang w:val="en-GB"/>
          <w14:ligatures w14:val="none"/>
        </w:rPr>
      </w:pPr>
      <w:r>
        <w:rPr>
          <w:rFonts w:eastAsia="Calibri" w:cs="Times New Roman"/>
          <w:noProof/>
          <w:lang w:val="en-GB"/>
        </w:rPr>
        <w:t xml:space="preserve">Recommendation No </w:t>
      </w:r>
      <w:r w:rsidR="007F40BB">
        <w:rPr>
          <w:rFonts w:eastAsia="Calibri" w:cs="Times New Roman"/>
          <w:noProof/>
          <w:lang w:val="en-GB"/>
        </w:rPr>
        <w:t>4 and 5, o</w:t>
      </w:r>
      <w:r w:rsidR="009B376A" w:rsidRPr="004B6CD8">
        <w:rPr>
          <w:rFonts w:eastAsia="Calibri" w:cs="Times New Roman"/>
          <w:noProof/>
          <w:lang w:val="en-GB"/>
        </w:rPr>
        <w:t xml:space="preserve">n </w:t>
      </w:r>
      <w:r w:rsidR="000D5E77" w:rsidRPr="004B6CD8">
        <w:rPr>
          <w:rFonts w:eastAsia="Calibri" w:cs="Times New Roman"/>
          <w:b/>
          <w:bCs/>
          <w:noProof/>
          <w:color w:val="003399" w:themeColor="text2"/>
          <w:kern w:val="0"/>
          <w:lang w:val="en-GB"/>
          <w14:ligatures w14:val="none"/>
        </w:rPr>
        <w:t>management of the project scope, requirements, acceptance and success criteria</w:t>
      </w:r>
      <w:r w:rsidR="009B376A" w:rsidRPr="004B6CD8">
        <w:rPr>
          <w:rFonts w:eastAsia="Calibri" w:cs="Times New Roman"/>
          <w:b/>
          <w:bCs/>
          <w:noProof/>
          <w:color w:val="003399" w:themeColor="text2"/>
          <w:kern w:val="0"/>
          <w:lang w:val="en-GB"/>
          <w14:ligatures w14:val="none"/>
        </w:rPr>
        <w:t>,</w:t>
      </w:r>
      <w:r w:rsidR="009B376A" w:rsidRPr="004B6CD8">
        <w:rPr>
          <w:rFonts w:eastAsia="Calibri" w:cs="Times New Roman"/>
          <w:b/>
          <w:bCs/>
          <w:noProof/>
          <w:color w:val="008139" w:themeColor="accent1"/>
          <w:lang w:val="en-GB"/>
        </w:rPr>
        <w:t xml:space="preserve"> </w:t>
      </w:r>
      <w:r w:rsidR="009B376A" w:rsidRPr="004B6CD8">
        <w:rPr>
          <w:rFonts w:eastAsia="Calibri" w:cs="Times New Roman"/>
          <w:b/>
          <w:bCs/>
          <w:noProof/>
          <w:color w:val="003399" w:themeColor="text2"/>
          <w:kern w:val="0"/>
          <w:lang w:val="en-GB"/>
          <w14:ligatures w14:val="none"/>
        </w:rPr>
        <w:t xml:space="preserve">DG </w:t>
      </w:r>
      <w:r w:rsidR="000D5E77" w:rsidRPr="004B6CD8">
        <w:rPr>
          <w:rFonts w:eastAsia="Calibri" w:cs="Times New Roman"/>
          <w:b/>
          <w:bCs/>
          <w:noProof/>
          <w:color w:val="003399" w:themeColor="text2"/>
          <w:kern w:val="0"/>
          <w:lang w:val="en-GB"/>
          <w14:ligatures w14:val="none"/>
        </w:rPr>
        <w:t xml:space="preserve">BUDG </w:t>
      </w:r>
      <w:r w:rsidR="009B376A" w:rsidRPr="004B6CD8">
        <w:rPr>
          <w:rFonts w:eastAsia="Calibri" w:cs="Times New Roman"/>
          <w:noProof/>
          <w:kern w:val="0"/>
          <w:lang w:val="en-GB"/>
          <w14:ligatures w14:val="none"/>
        </w:rPr>
        <w:t xml:space="preserve">should: </w:t>
      </w:r>
    </w:p>
    <w:p w14:paraId="47A76E5A" w14:textId="70F52414" w:rsidR="009B376A" w:rsidRPr="004B6CD8" w:rsidRDefault="000D5E77" w:rsidP="009B376A">
      <w:pPr>
        <w:pStyle w:val="amprLISTtealbullets-L1"/>
        <w:rPr>
          <w:rFonts w:eastAsia="Calibri" w:cs="Times New Roman"/>
          <w:noProof/>
        </w:rPr>
      </w:pPr>
      <w:r w:rsidRPr="004B6CD8">
        <w:rPr>
          <w:rFonts w:eastAsia="Calibri" w:cs="Times New Roman"/>
          <w:noProof/>
        </w:rPr>
        <w:t>review of project scope, requirements, and go-live criteria</w:t>
      </w:r>
      <w:r w:rsidR="009B376A" w:rsidRPr="004B6CD8">
        <w:rPr>
          <w:rFonts w:eastAsia="Calibri" w:cs="Times New Roman"/>
          <w:noProof/>
        </w:rPr>
        <w:t>;</w:t>
      </w:r>
    </w:p>
    <w:p w14:paraId="7D414424" w14:textId="1EB7C4EE" w:rsidR="009B376A" w:rsidRPr="004B6CD8" w:rsidRDefault="000D5E77" w:rsidP="009B376A">
      <w:pPr>
        <w:pStyle w:val="amprLISTtealbullets-L1"/>
        <w:rPr>
          <w:rFonts w:eastAsia="Calibri" w:cs="Times New Roman"/>
          <w:noProof/>
        </w:rPr>
      </w:pPr>
      <w:r w:rsidRPr="004B6CD8">
        <w:rPr>
          <w:rFonts w:eastAsia="Calibri" w:cs="Times New Roman"/>
          <w:noProof/>
        </w:rPr>
        <w:t>improve/advance the management of requirements, acceptance and success criteria</w:t>
      </w:r>
      <w:r w:rsidR="009B376A" w:rsidRPr="004B6CD8">
        <w:rPr>
          <w:rFonts w:eastAsia="Calibri" w:cs="Times New Roman"/>
          <w:noProof/>
        </w:rPr>
        <w:t>.</w:t>
      </w:r>
    </w:p>
    <w:p w14:paraId="0CCF61EB" w14:textId="42F13462" w:rsidR="00CF6509" w:rsidRDefault="00CF6509" w:rsidP="000D5E77">
      <w:pPr>
        <w:jc w:val="both"/>
        <w:rPr>
          <w:rFonts w:eastAsia="Calibri" w:cs="Times New Roman"/>
          <w:noProof/>
          <w:kern w:val="0"/>
          <w:lang w:val="en-GB"/>
          <w14:ligatures w14:val="none"/>
        </w:rPr>
      </w:pPr>
      <w:r>
        <w:rPr>
          <w:rFonts w:eastAsia="Calibri" w:cs="Times New Roman"/>
          <w:noProof/>
          <w:kern w:val="0"/>
          <w:lang w:val="en-GB"/>
          <w14:ligatures w14:val="none"/>
        </w:rPr>
        <w:t xml:space="preserve">Recommendation No </w:t>
      </w:r>
      <w:r w:rsidR="007F40BB">
        <w:rPr>
          <w:rFonts w:eastAsia="Calibri" w:cs="Times New Roman"/>
          <w:noProof/>
          <w:kern w:val="0"/>
          <w:lang w:val="en-GB"/>
          <w14:ligatures w14:val="none"/>
        </w:rPr>
        <w:t>6</w:t>
      </w:r>
      <w:r>
        <w:rPr>
          <w:rFonts w:eastAsia="Calibri" w:cs="Times New Roman"/>
          <w:noProof/>
          <w:kern w:val="0"/>
          <w:lang w:val="en-GB"/>
          <w14:ligatures w14:val="none"/>
        </w:rPr>
        <w:t xml:space="preserve"> and 7</w:t>
      </w:r>
      <w:r w:rsidR="007F40BB">
        <w:rPr>
          <w:rFonts w:eastAsia="Calibri" w:cs="Times New Roman"/>
          <w:noProof/>
          <w:kern w:val="0"/>
          <w:lang w:val="en-GB"/>
          <w14:ligatures w14:val="none"/>
        </w:rPr>
        <w:t>, o</w:t>
      </w:r>
      <w:r w:rsidR="000D5E77" w:rsidRPr="004B6CD8">
        <w:rPr>
          <w:rFonts w:eastAsia="Calibri" w:cs="Times New Roman"/>
          <w:noProof/>
          <w:kern w:val="0"/>
          <w:lang w:val="en-GB"/>
          <w14:ligatures w14:val="none"/>
        </w:rPr>
        <w:t xml:space="preserve">n </w:t>
      </w:r>
      <w:r w:rsidR="000D5E77" w:rsidRPr="004B6CD8">
        <w:rPr>
          <w:rFonts w:eastAsia="Calibri" w:cs="Times New Roman"/>
          <w:b/>
          <w:bCs/>
          <w:noProof/>
          <w:color w:val="003399" w:themeColor="text2"/>
          <w:kern w:val="0"/>
          <w:lang w:val="en-GB"/>
          <w14:ligatures w14:val="none"/>
        </w:rPr>
        <w:t>IT security management</w:t>
      </w:r>
      <w:r w:rsidR="000D5E77" w:rsidRPr="004B6CD8">
        <w:rPr>
          <w:rFonts w:eastAsia="Calibri" w:cs="Times New Roman"/>
          <w:noProof/>
          <w:kern w:val="0"/>
          <w:lang w:val="en-GB"/>
          <w14:ligatures w14:val="none"/>
        </w:rPr>
        <w:t xml:space="preserve">, </w:t>
      </w:r>
    </w:p>
    <w:p w14:paraId="54FADD61" w14:textId="7803E7B0" w:rsidR="000D5E77" w:rsidRPr="00CF6509" w:rsidRDefault="000D5E77" w:rsidP="000D5E77">
      <w:pPr>
        <w:pStyle w:val="amprLISTtealbullets-L1"/>
        <w:rPr>
          <w:rFonts w:eastAsia="Calibri" w:cs="Times New Roman"/>
          <w:noProof/>
        </w:rPr>
      </w:pPr>
      <w:r w:rsidRPr="008A53FC">
        <w:rPr>
          <w:rFonts w:eastAsia="Calibri" w:cs="Times New Roman"/>
          <w:b/>
          <w:bCs/>
          <w:noProof/>
          <w:color w:val="003399" w:themeColor="text2"/>
        </w:rPr>
        <w:t>DG</w:t>
      </w:r>
      <w:r w:rsidRPr="00CF6509">
        <w:rPr>
          <w:rFonts w:eastAsia="Calibri"/>
          <w:b/>
          <w:bCs/>
          <w:noProof/>
        </w:rPr>
        <w:t xml:space="preserve"> </w:t>
      </w:r>
      <w:r w:rsidRPr="008A53FC">
        <w:rPr>
          <w:rFonts w:eastAsia="Calibri" w:cs="Times New Roman"/>
          <w:b/>
          <w:bCs/>
          <w:noProof/>
          <w:color w:val="003399" w:themeColor="text2"/>
        </w:rPr>
        <w:t>BUDG</w:t>
      </w:r>
      <w:r w:rsidRPr="00CF6509">
        <w:rPr>
          <w:rFonts w:eastAsia="Calibri"/>
          <w:noProof/>
        </w:rPr>
        <w:t xml:space="preserve"> should</w:t>
      </w:r>
      <w:r w:rsidR="00CF6509" w:rsidRPr="00CF6509">
        <w:rPr>
          <w:rFonts w:eastAsia="Calibri"/>
          <w:noProof/>
        </w:rPr>
        <w:t xml:space="preserve"> </w:t>
      </w:r>
      <w:r w:rsidRPr="00CF6509">
        <w:rPr>
          <w:rFonts w:eastAsia="Calibri" w:cs="Times New Roman"/>
          <w:noProof/>
        </w:rPr>
        <w:t>improve the IT security risk management study.</w:t>
      </w:r>
    </w:p>
    <w:p w14:paraId="12DDBF15" w14:textId="77777777" w:rsidR="000D5E77" w:rsidRPr="004B6CD8" w:rsidRDefault="000D5E77" w:rsidP="00E30038">
      <w:pPr>
        <w:pStyle w:val="amprLISTtealbullets-L1"/>
        <w:spacing w:after="240"/>
        <w:ind w:left="782" w:hanging="357"/>
        <w:rPr>
          <w:rFonts w:eastAsia="Calibri"/>
          <w:noProof/>
        </w:rPr>
      </w:pPr>
      <w:r w:rsidRPr="008A53FC">
        <w:rPr>
          <w:rFonts w:cs="Times New Roman"/>
          <w:b/>
          <w:bCs/>
          <w:noProof/>
          <w:color w:val="003399" w:themeColor="text2"/>
        </w:rPr>
        <w:t>DG</w:t>
      </w:r>
      <w:r w:rsidRPr="004B6CD8">
        <w:rPr>
          <w:noProof/>
        </w:rPr>
        <w:t xml:space="preserve"> </w:t>
      </w:r>
      <w:r w:rsidRPr="008A53FC">
        <w:rPr>
          <w:rFonts w:cs="Times New Roman"/>
          <w:b/>
          <w:bCs/>
          <w:noProof/>
          <w:color w:val="003399" w:themeColor="text2"/>
        </w:rPr>
        <w:t>DIGIT</w:t>
      </w:r>
      <w:r w:rsidRPr="004B6CD8">
        <w:rPr>
          <w:noProof/>
        </w:rPr>
        <w:t xml:space="preserve"> should</w:t>
      </w:r>
      <w:r w:rsidR="00CF6509">
        <w:rPr>
          <w:noProof/>
        </w:rPr>
        <w:t xml:space="preserve"> </w:t>
      </w:r>
      <w:r w:rsidRPr="004B6CD8">
        <w:rPr>
          <w:rFonts w:eastAsia="Calibri"/>
          <w:noProof/>
        </w:rPr>
        <w:t>implement the defined IT security measures and ensure risk acceptance criteria have been satisfied.</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9B376A" w:rsidRPr="007F05B2" w14:paraId="5BCC6B4E" w14:textId="77777777">
        <w:tc>
          <w:tcPr>
            <w:tcW w:w="9057" w:type="dxa"/>
          </w:tcPr>
          <w:p w14:paraId="0A4BD641" w14:textId="749C79E4" w:rsidR="000D5E77" w:rsidRPr="004B6CD8" w:rsidRDefault="000D5E77" w:rsidP="000D5E77">
            <w:pPr>
              <w:pStyle w:val="boldblue"/>
            </w:pPr>
            <w:r w:rsidRPr="00217CD5">
              <w:t xml:space="preserve">Additional information provided by </w:t>
            </w:r>
            <w:r w:rsidR="00A018E5" w:rsidRPr="00217CD5">
              <w:t>DG</w:t>
            </w:r>
            <w:r w:rsidRPr="00217CD5">
              <w:t xml:space="preserve"> BUDG, </w:t>
            </w:r>
            <w:r w:rsidR="00E30038" w:rsidRPr="00217CD5">
              <w:t xml:space="preserve">DG </w:t>
            </w:r>
            <w:r w:rsidRPr="00217CD5">
              <w:t>EMPL</w:t>
            </w:r>
            <w:r w:rsidR="00E30038" w:rsidRPr="00217CD5">
              <w:t xml:space="preserve">/DG </w:t>
            </w:r>
            <w:r w:rsidRPr="00217CD5">
              <w:t>REGIO and DIGIT on the implemented measures</w:t>
            </w:r>
          </w:p>
          <w:p w14:paraId="46D986F1" w14:textId="33DDC41C" w:rsidR="003437FE" w:rsidRPr="007F0F29" w:rsidRDefault="003437FE" w:rsidP="007F0F29">
            <w:pPr>
              <w:jc w:val="both"/>
              <w:rPr>
                <w:rFonts w:eastAsia="Calibri"/>
                <w:noProof/>
                <w:lang w:eastAsia="en-US"/>
              </w:rPr>
            </w:pPr>
            <w:r w:rsidRPr="007F0F29">
              <w:rPr>
                <w:b/>
                <w:bCs/>
                <w:noProof/>
                <w:color w:val="003399" w:themeColor="text2"/>
              </w:rPr>
              <w:t>DG BUDG</w:t>
            </w:r>
            <w:r w:rsidRPr="007F0F29">
              <w:rPr>
                <w:rFonts w:eastAsia="Calibri"/>
                <w:noProof/>
              </w:rPr>
              <w:t xml:space="preserve"> </w:t>
            </w:r>
            <w:r w:rsidR="00523E3E" w:rsidRPr="007F0F29">
              <w:rPr>
                <w:rFonts w:eastAsia="Calibri"/>
                <w:noProof/>
              </w:rPr>
              <w:t xml:space="preserve">considers it </w:t>
            </w:r>
            <w:r w:rsidRPr="007F0F29">
              <w:rPr>
                <w:rFonts w:eastAsia="Calibri"/>
                <w:noProof/>
              </w:rPr>
              <w:t>has strengthened governance</w:t>
            </w:r>
            <w:r w:rsidR="00D34771">
              <w:rPr>
                <w:rFonts w:eastAsia="Calibri"/>
                <w:noProof/>
              </w:rPr>
              <w:t>,</w:t>
            </w:r>
            <w:r w:rsidRPr="007F0F29">
              <w:rPr>
                <w:rFonts w:eastAsia="Calibri"/>
                <w:noProof/>
              </w:rPr>
              <w:t xml:space="preserve"> </w:t>
            </w:r>
            <w:r w:rsidR="00D34771">
              <w:rPr>
                <w:rFonts w:eastAsia="Calibri"/>
                <w:noProof/>
              </w:rPr>
              <w:t>a</w:t>
            </w:r>
            <w:r w:rsidR="00D34771" w:rsidRPr="007F0F29">
              <w:rPr>
                <w:rFonts w:eastAsia="Calibri"/>
                <w:noProof/>
              </w:rPr>
              <w:t xml:space="preserve"> </w:t>
            </w:r>
            <w:r w:rsidRPr="007F0F29">
              <w:rPr>
                <w:rFonts w:eastAsia="Calibri"/>
                <w:noProof/>
              </w:rPr>
              <w:t>formal escalation procedure has been developed, and human resources have been reviewed and reinforced.</w:t>
            </w:r>
            <w:r w:rsidR="00147C7D" w:rsidRPr="007F0F29">
              <w:rPr>
                <w:rFonts w:eastAsia="Calibri"/>
                <w:noProof/>
              </w:rPr>
              <w:t xml:space="preserve"> </w:t>
            </w:r>
          </w:p>
          <w:p w14:paraId="70B29CBE" w14:textId="47089F96" w:rsidR="003437FE" w:rsidRPr="007F0F29" w:rsidRDefault="003437FE" w:rsidP="007F0F29">
            <w:pPr>
              <w:jc w:val="both"/>
              <w:rPr>
                <w:rFonts w:eastAsia="Calibri"/>
                <w:noProof/>
                <w:lang w:eastAsia="en-US"/>
              </w:rPr>
            </w:pPr>
            <w:r w:rsidRPr="007F0F29">
              <w:rPr>
                <w:rFonts w:eastAsia="Calibri"/>
                <w:noProof/>
              </w:rPr>
              <w:t xml:space="preserve">DG BUDG </w:t>
            </w:r>
            <w:r w:rsidR="00C85076" w:rsidRPr="007F0F29">
              <w:rPr>
                <w:rFonts w:eastAsia="Calibri"/>
                <w:noProof/>
              </w:rPr>
              <w:t xml:space="preserve">considers it </w:t>
            </w:r>
            <w:r w:rsidRPr="007F0F29">
              <w:rPr>
                <w:rFonts w:eastAsia="Calibri"/>
                <w:noProof/>
              </w:rPr>
              <w:t>has prioritised work based on business impact, ensured continuous stakeholder involvement, and defined and met clear Service Activation criteria, covering IT security, onboarding, data protection and testing validation</w:t>
            </w:r>
            <w:r w:rsidR="008A3758" w:rsidRPr="007F0F29">
              <w:rPr>
                <w:rFonts w:eastAsia="Calibri"/>
                <w:noProof/>
              </w:rPr>
              <w:t xml:space="preserve">. It also </w:t>
            </w:r>
            <w:r w:rsidR="008B447D" w:rsidRPr="007F0F29">
              <w:rPr>
                <w:rFonts w:eastAsia="Calibri"/>
                <w:noProof/>
              </w:rPr>
              <w:t xml:space="preserve">considers to have </w:t>
            </w:r>
            <w:r w:rsidRPr="007F0F29">
              <w:rPr>
                <w:rFonts w:eastAsia="Calibri"/>
                <w:noProof/>
              </w:rPr>
              <w:t>updated the requirement traceability matrix and strengthened data protection compliance.</w:t>
            </w:r>
          </w:p>
          <w:p w14:paraId="0F34198A" w14:textId="29BBD753" w:rsidR="003437FE" w:rsidRPr="007F0F29" w:rsidRDefault="003437FE" w:rsidP="007F0F29">
            <w:pPr>
              <w:jc w:val="both"/>
              <w:rPr>
                <w:rFonts w:eastAsia="Calibri"/>
                <w:noProof/>
                <w:lang w:eastAsia="en-US"/>
              </w:rPr>
            </w:pPr>
            <w:r w:rsidRPr="007F0F29">
              <w:rPr>
                <w:rFonts w:eastAsia="Calibri"/>
                <w:noProof/>
              </w:rPr>
              <w:t xml:space="preserve">DG BUDG has </w:t>
            </w:r>
            <w:r w:rsidR="00621F13" w:rsidRPr="007F0F29">
              <w:rPr>
                <w:rFonts w:eastAsia="Calibri"/>
                <w:noProof/>
              </w:rPr>
              <w:t xml:space="preserve">reported as </w:t>
            </w:r>
            <w:r w:rsidRPr="007F0F29">
              <w:rPr>
                <w:rFonts w:eastAsia="Calibri"/>
                <w:noProof/>
              </w:rPr>
              <w:t xml:space="preserve">fully implemented the </w:t>
            </w:r>
            <w:r w:rsidR="00D429BA" w:rsidRPr="007F0F29">
              <w:rPr>
                <w:rFonts w:eastAsia="Calibri"/>
                <w:noProof/>
              </w:rPr>
              <w:t>update of</w:t>
            </w:r>
            <w:r w:rsidR="007E5259" w:rsidRPr="007F0F29">
              <w:rPr>
                <w:rFonts w:eastAsia="Calibri"/>
                <w:noProof/>
              </w:rPr>
              <w:t xml:space="preserve"> business impact assessment, </w:t>
            </w:r>
            <w:r w:rsidR="004843B4">
              <w:rPr>
                <w:rFonts w:eastAsia="Calibri"/>
                <w:noProof/>
              </w:rPr>
              <w:t xml:space="preserve">the </w:t>
            </w:r>
            <w:r w:rsidR="00563E6B" w:rsidRPr="007F0F29">
              <w:rPr>
                <w:rFonts w:eastAsia="Calibri"/>
                <w:noProof/>
              </w:rPr>
              <w:t xml:space="preserve">IT </w:t>
            </w:r>
            <w:r w:rsidR="0061642E" w:rsidRPr="007F0F29">
              <w:rPr>
                <w:rFonts w:eastAsia="Calibri"/>
                <w:noProof/>
              </w:rPr>
              <w:t xml:space="preserve">security </w:t>
            </w:r>
            <w:r w:rsidR="007E5259" w:rsidRPr="007F0F29">
              <w:rPr>
                <w:rFonts w:eastAsia="Calibri"/>
                <w:noProof/>
              </w:rPr>
              <w:t xml:space="preserve">risk assessment </w:t>
            </w:r>
            <w:r w:rsidR="00047EFA" w:rsidRPr="007F0F29">
              <w:rPr>
                <w:rFonts w:eastAsia="Calibri"/>
                <w:noProof/>
              </w:rPr>
              <w:t xml:space="preserve">and </w:t>
            </w:r>
            <w:r w:rsidRPr="007F0F29">
              <w:rPr>
                <w:rFonts w:eastAsia="Calibri"/>
                <w:noProof/>
              </w:rPr>
              <w:t>the IT Security Plan.</w:t>
            </w:r>
          </w:p>
          <w:p w14:paraId="31DACFFE" w14:textId="28429894" w:rsidR="003437FE" w:rsidRPr="007F0F29" w:rsidRDefault="003437FE" w:rsidP="007F0F29">
            <w:pPr>
              <w:jc w:val="both"/>
              <w:rPr>
                <w:rFonts w:eastAsia="Calibri"/>
                <w:noProof/>
                <w:lang w:eastAsia="en-US"/>
              </w:rPr>
            </w:pPr>
            <w:r w:rsidRPr="007F0F29">
              <w:rPr>
                <w:b/>
                <w:bCs/>
                <w:noProof/>
                <w:color w:val="003399" w:themeColor="text2"/>
              </w:rPr>
              <w:t>DG EMPL</w:t>
            </w:r>
            <w:r w:rsidR="007F7B51" w:rsidRPr="007F0F29">
              <w:rPr>
                <w:b/>
                <w:bCs/>
                <w:noProof/>
                <w:color w:val="003399" w:themeColor="text2"/>
              </w:rPr>
              <w:t>/</w:t>
            </w:r>
            <w:r w:rsidRPr="007F0F29">
              <w:rPr>
                <w:b/>
                <w:bCs/>
                <w:noProof/>
                <w:color w:val="003399" w:themeColor="text2"/>
              </w:rPr>
              <w:t xml:space="preserve">DG REGIO </w:t>
            </w:r>
            <w:r w:rsidRPr="007F0F29">
              <w:rPr>
                <w:rFonts w:eastAsia="Calibri"/>
                <w:noProof/>
              </w:rPr>
              <w:t xml:space="preserve">have </w:t>
            </w:r>
            <w:r w:rsidR="007E7FF0" w:rsidRPr="007F0F29">
              <w:rPr>
                <w:rFonts w:eastAsia="Calibri"/>
                <w:noProof/>
              </w:rPr>
              <w:t xml:space="preserve">been </w:t>
            </w:r>
            <w:r w:rsidRPr="007F0F29">
              <w:rPr>
                <w:rFonts w:eastAsia="Calibri"/>
                <w:noProof/>
              </w:rPr>
              <w:t>actively and continuously supporting DG BUDG throughout Phase 2 in strengthening project governance, execution and follow up of User Accepting Testing, monitoring and reporting.</w:t>
            </w:r>
          </w:p>
          <w:p w14:paraId="2BB7F589" w14:textId="568BDE04" w:rsidR="003437FE" w:rsidRPr="007F0F29" w:rsidRDefault="003437FE" w:rsidP="007F0F29">
            <w:pPr>
              <w:jc w:val="both"/>
              <w:rPr>
                <w:rFonts w:eastAsia="Calibri"/>
                <w:noProof/>
                <w:lang w:eastAsia="en-US"/>
              </w:rPr>
            </w:pPr>
            <w:r w:rsidRPr="007F0F29">
              <w:rPr>
                <w:b/>
                <w:bCs/>
                <w:noProof/>
                <w:color w:val="003399" w:themeColor="text2"/>
              </w:rPr>
              <w:t>DG DIGIT</w:t>
            </w:r>
            <w:r w:rsidRPr="007F0F29">
              <w:rPr>
                <w:rFonts w:eastAsia="Calibri"/>
                <w:noProof/>
              </w:rPr>
              <w:t xml:space="preserve"> has been supporting DG BUDG</w:t>
            </w:r>
            <w:r w:rsidR="00F53CB3" w:rsidRPr="007F0F29">
              <w:rPr>
                <w:rFonts w:eastAsia="Calibri"/>
                <w:noProof/>
              </w:rPr>
              <w:t xml:space="preserve"> from the solution provider’s perspective</w:t>
            </w:r>
            <w:r w:rsidRPr="007F0F29">
              <w:rPr>
                <w:rFonts w:eastAsia="Calibri"/>
                <w:noProof/>
              </w:rPr>
              <w:t xml:space="preserve"> and, together with </w:t>
            </w:r>
            <w:r w:rsidR="00E30038" w:rsidRPr="007F0F29">
              <w:rPr>
                <w:rFonts w:eastAsia="Calibri"/>
                <w:noProof/>
              </w:rPr>
              <w:t xml:space="preserve">DG </w:t>
            </w:r>
            <w:r w:rsidRPr="007F0F29">
              <w:rPr>
                <w:rFonts w:eastAsia="Calibri"/>
                <w:noProof/>
              </w:rPr>
              <w:t>BUDG, is implementing enhanced reporting on the progress of the project towards its delivery.</w:t>
            </w:r>
          </w:p>
          <w:p w14:paraId="1EFAF904" w14:textId="13F320B9" w:rsidR="009B376A" w:rsidRPr="007F0F29" w:rsidRDefault="003437FE" w:rsidP="007F0F29">
            <w:pPr>
              <w:jc w:val="both"/>
              <w:rPr>
                <w:noProof/>
              </w:rPr>
            </w:pPr>
            <w:r w:rsidRPr="007F0F29">
              <w:rPr>
                <w:rFonts w:eastAsia="Calibri"/>
                <w:noProof/>
              </w:rPr>
              <w:t>DG DIGIT</w:t>
            </w:r>
            <w:r w:rsidR="001003C8" w:rsidRPr="007F0F29">
              <w:rPr>
                <w:rFonts w:eastAsia="Calibri"/>
                <w:noProof/>
              </w:rPr>
              <w:t xml:space="preserve"> </w:t>
            </w:r>
            <w:r w:rsidRPr="007F0F29">
              <w:rPr>
                <w:noProof/>
              </w:rPr>
              <w:t>with the support of DG BUDG</w:t>
            </w:r>
            <w:r w:rsidR="005B23A4" w:rsidRPr="007F0F29">
              <w:rPr>
                <w:noProof/>
              </w:rPr>
              <w:t xml:space="preserve">, </w:t>
            </w:r>
            <w:r w:rsidR="006216D3" w:rsidRPr="007F0F29">
              <w:rPr>
                <w:noProof/>
              </w:rPr>
              <w:t>has reported that it</w:t>
            </w:r>
            <w:r w:rsidRPr="007F0F29">
              <w:rPr>
                <w:noProof/>
              </w:rPr>
              <w:t xml:space="preserve"> has implemented and tested all defined IT security measures before Arachne+ Service Activation.</w:t>
            </w:r>
          </w:p>
          <w:p w14:paraId="6C0375D5" w14:textId="28EC3023" w:rsidR="00F911EF" w:rsidRPr="004B6CD8" w:rsidRDefault="00F911EF" w:rsidP="007F0F29">
            <w:pPr>
              <w:jc w:val="both"/>
              <w:rPr>
                <w:noProof/>
              </w:rPr>
            </w:pPr>
            <w:r w:rsidRPr="007F0F29">
              <w:rPr>
                <w:noProof/>
              </w:rPr>
              <w:t xml:space="preserve">The IAS </w:t>
            </w:r>
            <w:r w:rsidR="00FD787E" w:rsidRPr="007F0F29">
              <w:rPr>
                <w:noProof/>
              </w:rPr>
              <w:t>has not yet</w:t>
            </w:r>
            <w:r w:rsidR="00C148C6" w:rsidRPr="007F0F29">
              <w:rPr>
                <w:noProof/>
              </w:rPr>
              <w:t xml:space="preserve"> </w:t>
            </w:r>
            <w:r w:rsidRPr="007F0F29">
              <w:rPr>
                <w:noProof/>
              </w:rPr>
              <w:t>confirm</w:t>
            </w:r>
            <w:r w:rsidR="00FD787E" w:rsidRPr="007F0F29">
              <w:rPr>
                <w:noProof/>
              </w:rPr>
              <w:t>ed</w:t>
            </w:r>
            <w:r w:rsidRPr="007F0F29">
              <w:rPr>
                <w:noProof/>
              </w:rPr>
              <w:t xml:space="preserve"> the adequate implementation of the </w:t>
            </w:r>
            <w:r w:rsidR="00571112" w:rsidRPr="007F0F29">
              <w:rPr>
                <w:noProof/>
              </w:rPr>
              <w:t>recommendation</w:t>
            </w:r>
            <w:r w:rsidR="00504EF4" w:rsidRPr="007F0F29">
              <w:rPr>
                <w:noProof/>
              </w:rPr>
              <w:t>s</w:t>
            </w:r>
            <w:r w:rsidRPr="007F0F29">
              <w:rPr>
                <w:noProof/>
              </w:rPr>
              <w:t>.</w:t>
            </w:r>
          </w:p>
        </w:tc>
      </w:tr>
    </w:tbl>
    <w:p w14:paraId="6F038676" w14:textId="1968CF16" w:rsidR="009B376A" w:rsidRPr="004B6CD8" w:rsidRDefault="000D5E77" w:rsidP="00D74BE0">
      <w:pPr>
        <w:pStyle w:val="amprH3Title2-Numbered-11"/>
        <w:numPr>
          <w:ilvl w:val="1"/>
          <w:numId w:val="51"/>
        </w:numPr>
        <w:rPr>
          <w:noProof/>
        </w:rPr>
      </w:pPr>
      <w:bookmarkStart w:id="72" w:name="_Toc231235451"/>
      <w:r w:rsidRPr="004B6CD8">
        <w:rPr>
          <w:noProof/>
        </w:rPr>
        <w:t>Human Resources Transformation programme</w:t>
      </w:r>
      <w:r w:rsidR="000F2B8B">
        <w:rPr>
          <w:noProof/>
        </w:rPr>
        <w:t xml:space="preserve"> (DG HR)</w:t>
      </w:r>
      <w:bookmarkEnd w:id="72"/>
    </w:p>
    <w:p w14:paraId="1370408A" w14:textId="77777777" w:rsidR="000D5E77" w:rsidRPr="004B6CD8" w:rsidRDefault="009B376A"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The </w:t>
      </w:r>
      <w:r w:rsidR="000D5E77" w:rsidRPr="004B6CD8">
        <w:rPr>
          <w:rFonts w:eastAsia="Calibri" w:cs="Times New Roman"/>
          <w:noProof/>
          <w:kern w:val="0"/>
          <w:lang w:val="en-GB"/>
          <w14:ligatures w14:val="none"/>
        </w:rPr>
        <w:t>objective of the audit was to assess whether DG HR has put in place appropriate governance, risk management and control processes to execute the Human Resources Transformation programme effectively so as to achieve the strategic objectives and business expectations within the allocated time and resources, and in compliance with the Commission’s internal security standards.</w:t>
      </w:r>
    </w:p>
    <w:p w14:paraId="5468BCF5" w14:textId="77777777" w:rsidR="000D5E77" w:rsidRPr="004B6CD8" w:rsidRDefault="000D5E77" w:rsidP="000D5E77">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results</w:t>
      </w:r>
    </w:p>
    <w:p w14:paraId="5125E024" w14:textId="77777777" w:rsidR="000D5E77" w:rsidRPr="004B6CD8" w:rsidRDefault="000D5E77" w:rsidP="00127BC0">
      <w:pPr>
        <w:spacing w:after="200"/>
        <w:jc w:val="both"/>
        <w:rPr>
          <w:rFonts w:cs="Times New Roman"/>
          <w:i/>
          <w:iCs/>
          <w:noProof/>
          <w:color w:val="003399" w:themeColor="text2"/>
          <w:lang w:val="en-GB"/>
        </w:rPr>
      </w:pPr>
      <w:r w:rsidRPr="004B6CD8">
        <w:rPr>
          <w:rFonts w:cs="Times New Roman"/>
          <w:i/>
          <w:iCs/>
          <w:noProof/>
          <w:color w:val="003399" w:themeColor="text2"/>
          <w:lang w:val="en-GB"/>
        </w:rPr>
        <w:t>Are adequate governance and risk management processes and structures in place for the management of the programme, including planning, managing resources, risks and changes, monitoring and reporting of project performance?</w:t>
      </w:r>
    </w:p>
    <w:p w14:paraId="35149674" w14:textId="77777777" w:rsidR="000D5E77" w:rsidRPr="004B6CD8" w:rsidRDefault="000D5E77" w:rsidP="00127BC0">
      <w:pPr>
        <w:spacing w:before="200" w:after="200"/>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While the Human Resources Transformation programme governance structure and processes are overall well set up, certain elements need further definition or are missing. The programme management team and the project management Board did not yet have a consolidated update about the progress of the projects and working groups at programme level. The programme level relies on project team meetings, project steering committee meetings and programme coordination meetings, to identify issues and take remedial actions but, quality checks in key areas were not performed. </w:t>
      </w:r>
    </w:p>
    <w:p w14:paraId="71DC9DA7" w14:textId="77777777" w:rsidR="000D5E77" w:rsidRPr="004B6CD8" w:rsidRDefault="000D5E77" w:rsidP="00127BC0">
      <w:pPr>
        <w:spacing w:before="200" w:after="200"/>
        <w:jc w:val="both"/>
        <w:rPr>
          <w:rFonts w:eastAsia="Calibri" w:cs="Times New Roman"/>
          <w:noProof/>
          <w:kern w:val="0"/>
          <w:lang w:val="en-GB"/>
          <w14:ligatures w14:val="none"/>
        </w:rPr>
      </w:pPr>
      <w:r w:rsidRPr="004B6CD8">
        <w:rPr>
          <w:rFonts w:eastAsia="Calibri" w:cs="Times New Roman"/>
          <w:noProof/>
          <w:kern w:val="0"/>
          <w:lang w:val="en-GB"/>
          <w14:ligatures w14:val="none"/>
        </w:rPr>
        <w:t>Additionally, risk management activities are performed both at project and programme level, but the auditors noted weaknesses in the formal mechanism and process.</w:t>
      </w:r>
    </w:p>
    <w:p w14:paraId="379914BE" w14:textId="77777777" w:rsidR="000D5E77" w:rsidRPr="004B6CD8" w:rsidRDefault="000D5E77" w:rsidP="00127BC0">
      <w:pPr>
        <w:spacing w:before="200" w:after="200"/>
        <w:jc w:val="both"/>
        <w:rPr>
          <w:rFonts w:cs="Times New Roman"/>
          <w:i/>
          <w:iCs/>
          <w:noProof/>
          <w:color w:val="003399" w:themeColor="text2"/>
          <w:lang w:val="en-GB"/>
        </w:rPr>
      </w:pPr>
      <w:r w:rsidRPr="004B6CD8">
        <w:rPr>
          <w:rFonts w:cs="Times New Roman"/>
          <w:i/>
          <w:iCs/>
          <w:noProof/>
          <w:color w:val="003399" w:themeColor="text2"/>
          <w:lang w:val="en-GB"/>
        </w:rPr>
        <w:t>Are adequate controls in place to support the effective achievement of the main business and security objectives of the Human Resources Transformation programme?</w:t>
      </w:r>
    </w:p>
    <w:p w14:paraId="06BD8748" w14:textId="77777777" w:rsidR="000D5E77" w:rsidRPr="004B6CD8" w:rsidRDefault="000D5E77" w:rsidP="00127BC0">
      <w:pPr>
        <w:spacing w:after="200"/>
        <w:jc w:val="both"/>
        <w:rPr>
          <w:rFonts w:eastAsia="Calibri" w:cs="Times New Roman"/>
          <w:noProof/>
          <w:kern w:val="0"/>
          <w:lang w:val="en-GB"/>
          <w14:ligatures w14:val="none"/>
        </w:rPr>
      </w:pPr>
      <w:r w:rsidRPr="004B6CD8">
        <w:rPr>
          <w:rFonts w:eastAsia="Calibri" w:cs="Times New Roman"/>
          <w:noProof/>
          <w:kern w:val="0"/>
          <w:lang w:val="en-GB"/>
          <w14:ligatures w14:val="none"/>
        </w:rPr>
        <w:t>The Human Resources Transformation programme Charter identified expected outcomes and benefits, along with metrics to help identify if the benefits are achieved. However, for a number of those ‘identified benefits’ the auditors observed that they are not specific and measurable, certain metrics are not directly related to the benefits and no baseline values were set.</w:t>
      </w:r>
    </w:p>
    <w:p w14:paraId="2FFB88DC" w14:textId="77777777" w:rsidR="000D5E77" w:rsidRPr="004B6CD8" w:rsidRDefault="000D5E77" w:rsidP="00127BC0">
      <w:pPr>
        <w:spacing w:before="200" w:after="200"/>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No service level agreement had been established between DG DIGIT and the HR family defining the services provided through the IT platform, including the functionalities, performance, maintenance and operational arrangements, and security controls. The existing service level agreement between DG HR and other European Institutions, bodies and agencies about the HR services has been extended with the new Human Resources Transformation services but, the supplier-customer relationship is not adequately reflected in the agreement – especially relating to the detailed definition of services and the provision of assurance on IT security. </w:t>
      </w:r>
    </w:p>
    <w:p w14:paraId="5FBE2022" w14:textId="77777777" w:rsidR="000D5E77" w:rsidRPr="004B6CD8" w:rsidRDefault="000D5E77" w:rsidP="00127BC0">
      <w:pPr>
        <w:spacing w:before="200" w:after="200"/>
        <w:jc w:val="both"/>
        <w:rPr>
          <w:rFonts w:cs="Times New Roman"/>
          <w:i/>
          <w:iCs/>
          <w:noProof/>
          <w:color w:val="003399" w:themeColor="text2"/>
          <w:lang w:val="en-GB"/>
        </w:rPr>
      </w:pPr>
      <w:r w:rsidRPr="004B6CD8">
        <w:rPr>
          <w:rFonts w:cs="Times New Roman"/>
          <w:i/>
          <w:iCs/>
          <w:noProof/>
          <w:color w:val="003399" w:themeColor="text2"/>
          <w:lang w:val="en-GB"/>
        </w:rPr>
        <w:t>Are adequate controls in place to support the effective execution of the selected projects and the security of the respective systems (pre-selection, onboarding)?</w:t>
      </w:r>
    </w:p>
    <w:p w14:paraId="1BE3ABBE" w14:textId="64EC9BF3" w:rsidR="000D5E77" w:rsidRPr="004B6CD8" w:rsidRDefault="000D5E77" w:rsidP="00127BC0">
      <w:pPr>
        <w:spacing w:before="200" w:after="200"/>
        <w:jc w:val="both"/>
        <w:rPr>
          <w:rFonts w:eastAsia="Calibri" w:cs="Times New Roman"/>
          <w:noProof/>
          <w:kern w:val="0"/>
          <w:lang w:val="en-GB"/>
          <w14:ligatures w14:val="none"/>
        </w:rPr>
      </w:pPr>
      <w:r w:rsidRPr="004B6CD8">
        <w:rPr>
          <w:rFonts w:eastAsia="Calibri" w:cs="Times New Roman"/>
          <w:noProof/>
          <w:kern w:val="0"/>
          <w:lang w:val="en-GB"/>
          <w14:ligatures w14:val="none"/>
        </w:rPr>
        <w:t>Projects are established, their business requirement definitions are managed well</w:t>
      </w:r>
      <w:r w:rsidR="00C400FB">
        <w:rPr>
          <w:rFonts w:eastAsia="Calibri" w:cs="Times New Roman"/>
          <w:noProof/>
          <w:kern w:val="0"/>
          <w:lang w:val="en-GB"/>
          <w14:ligatures w14:val="none"/>
        </w:rPr>
        <w:t>,</w:t>
      </w:r>
      <w:r w:rsidRPr="004B6CD8">
        <w:rPr>
          <w:rFonts w:eastAsia="Calibri" w:cs="Times New Roman"/>
          <w:noProof/>
          <w:kern w:val="0"/>
          <w:lang w:val="en-GB"/>
          <w14:ligatures w14:val="none"/>
        </w:rPr>
        <w:t xml:space="preserve"> and the projects efficiently apply the ‘minimum viable product’ approach. However, in the domain of IT security, the Human Resources Transformation programme did not have sufficient expertise and resources both at programme and project levels. </w:t>
      </w:r>
    </w:p>
    <w:p w14:paraId="08406760"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Moreover, the necessary security measures were not timely and fully implemented.</w:t>
      </w:r>
    </w:p>
    <w:p w14:paraId="29CA8F10" w14:textId="77777777" w:rsidR="000D5E77" w:rsidRPr="004B6CD8" w:rsidRDefault="000D5E77" w:rsidP="000D5E77">
      <w:pPr>
        <w:jc w:val="both"/>
        <w:rPr>
          <w:rFonts w:cs="Times New Roman"/>
          <w:b/>
          <w:bCs/>
          <w:noProof/>
          <w:color w:val="003399" w:themeColor="text2"/>
          <w:u w:val="single"/>
          <w:lang w:val="en-GB"/>
        </w:rPr>
      </w:pPr>
      <w:r w:rsidRPr="004B6CD8">
        <w:rPr>
          <w:rFonts w:cs="Times New Roman"/>
          <w:b/>
          <w:bCs/>
          <w:noProof/>
          <w:color w:val="003399" w:themeColor="text2"/>
          <w:u w:val="single"/>
          <w:lang w:val="en-GB"/>
        </w:rPr>
        <w:t>Audit conclusion</w:t>
      </w:r>
    </w:p>
    <w:p w14:paraId="5ADF33B3" w14:textId="77777777" w:rsidR="000D5E77" w:rsidRPr="004B6CD8" w:rsidRDefault="000D5E77" w:rsidP="000D5E77">
      <w:pPr>
        <w:jc w:val="both"/>
        <w:rPr>
          <w:rFonts w:eastAsia="Calibri" w:cs="Times New Roman"/>
          <w:noProof/>
          <w:kern w:val="0"/>
          <w:lang w:val="en-GB"/>
          <w14:ligatures w14:val="none"/>
        </w:rPr>
      </w:pPr>
      <w:r w:rsidRPr="004B6CD8">
        <w:rPr>
          <w:rFonts w:eastAsia="Calibri" w:cs="Times New Roman"/>
          <w:noProof/>
          <w:kern w:val="0"/>
          <w:lang w:val="en-GB"/>
          <w14:ligatures w14:val="none"/>
        </w:rPr>
        <w:t>The IAS concluded that although Human Resources Transformation programme governance structure and processes are overall well set up, a very important issue related to IT security management processes remains which may affect the achievement of the Programme’s strategic objectives and compliance with the Commission’s internal security standards.</w:t>
      </w:r>
    </w:p>
    <w:p w14:paraId="379ACBA4" w14:textId="42C7AA85" w:rsidR="000F184D" w:rsidRPr="004B6CD8" w:rsidRDefault="00521085" w:rsidP="000F184D">
      <w:pPr>
        <w:jc w:val="both"/>
        <w:rPr>
          <w:rFonts w:cs="Times New Roman"/>
          <w:b/>
          <w:bCs/>
          <w:noProof/>
          <w:color w:val="003399" w:themeColor="text2"/>
          <w:u w:val="single"/>
          <w:lang w:val="en-GB"/>
        </w:rPr>
      </w:pPr>
      <w:r>
        <w:rPr>
          <w:rFonts w:cs="Times New Roman"/>
          <w:b/>
          <w:bCs/>
          <w:noProof/>
          <w:color w:val="003399" w:themeColor="text2"/>
          <w:u w:val="single"/>
          <w:lang w:val="en-GB"/>
        </w:rPr>
        <w:t>Audit recommendations</w:t>
      </w:r>
    </w:p>
    <w:p w14:paraId="137F05D0" w14:textId="00E586B7" w:rsidR="000D5E77" w:rsidRPr="004B6CD8" w:rsidRDefault="000D5E77" w:rsidP="009B376A">
      <w:pPr>
        <w:jc w:val="both"/>
        <w:rPr>
          <w:rFonts w:eastAsia="Calibri" w:cs="Times New Roman"/>
          <w:noProof/>
          <w:kern w:val="0"/>
          <w:lang w:val="en-GB"/>
          <w14:ligatures w14:val="none"/>
        </w:rPr>
      </w:pPr>
      <w:r w:rsidRPr="004B6CD8">
        <w:rPr>
          <w:rFonts w:eastAsia="Calibri" w:cs="Times New Roman"/>
          <w:noProof/>
          <w:kern w:val="0"/>
          <w:lang w:val="en-GB"/>
          <w14:ligatures w14:val="none"/>
        </w:rPr>
        <w:t>Recommendation No 3</w:t>
      </w:r>
      <w:r w:rsidR="00CF6509">
        <w:rPr>
          <w:rFonts w:eastAsia="Calibri" w:cs="Times New Roman"/>
          <w:noProof/>
          <w:kern w:val="0"/>
          <w:lang w:val="en-GB"/>
          <w14:ligatures w14:val="none"/>
        </w:rPr>
        <w:t xml:space="preserve">, on the </w:t>
      </w:r>
      <w:r w:rsidR="00CF6509" w:rsidRPr="008A53FC">
        <w:rPr>
          <w:rFonts w:eastAsia="Times New Roman" w:cs="Times New Roman"/>
          <w:b/>
          <w:bCs/>
          <w:noProof/>
          <w:color w:val="003399" w:themeColor="text2"/>
          <w:kern w:val="0"/>
          <w:szCs w:val="20"/>
          <w:lang w:val="en-IE" w:eastAsia="en-GB"/>
          <w14:ligatures w14:val="none"/>
        </w:rPr>
        <w:t>management of IT security,</w:t>
      </w:r>
      <w:r w:rsidR="00CF6509">
        <w:rPr>
          <w:rFonts w:eastAsia="Calibri" w:cs="Times New Roman"/>
          <w:noProof/>
          <w:kern w:val="0"/>
          <w:lang w:val="en-GB"/>
          <w14:ligatures w14:val="none"/>
        </w:rPr>
        <w:t xml:space="preserve"> </w:t>
      </w:r>
      <w:r w:rsidRPr="008A53FC">
        <w:rPr>
          <w:rFonts w:eastAsia="Times New Roman" w:cs="Times New Roman"/>
          <w:bCs/>
          <w:noProof/>
          <w:color w:val="003399" w:themeColor="text2"/>
          <w:kern w:val="0"/>
          <w:szCs w:val="20"/>
          <w:lang w:val="en-IE" w:eastAsia="en-GB"/>
          <w14:ligatures w14:val="none"/>
        </w:rPr>
        <w:t xml:space="preserve">DG </w:t>
      </w:r>
      <w:r w:rsidRPr="008A53FC">
        <w:rPr>
          <w:rFonts w:eastAsia="Calibri" w:cs="Times New Roman"/>
          <w:bCs/>
          <w:noProof/>
          <w:color w:val="003399" w:themeColor="text2"/>
          <w:kern w:val="0"/>
          <w:lang w:val="en-IE"/>
          <w14:ligatures w14:val="none"/>
        </w:rPr>
        <w:t>HR</w:t>
      </w:r>
      <w:r w:rsidRPr="008A53FC">
        <w:rPr>
          <w:rFonts w:eastAsia="Times New Roman" w:cs="Times New Roman"/>
          <w:bCs/>
          <w:noProof/>
          <w:color w:val="003399" w:themeColor="text2"/>
          <w:kern w:val="0"/>
          <w:szCs w:val="20"/>
          <w:lang w:val="en-IE" w:eastAsia="en-GB"/>
          <w14:ligatures w14:val="none"/>
        </w:rPr>
        <w:t xml:space="preserve"> </w:t>
      </w:r>
      <w:r w:rsidRPr="008A53FC">
        <w:rPr>
          <w:rFonts w:eastAsia="Calibri" w:cs="Times New Roman"/>
          <w:noProof/>
          <w:kern w:val="0"/>
          <w:lang w:val="en-IE"/>
          <w14:ligatures w14:val="none"/>
        </w:rPr>
        <w:t>should</w:t>
      </w:r>
      <w:r w:rsidRPr="008A53FC">
        <w:rPr>
          <w:rFonts w:eastAsia="Times New Roman" w:cs="Times New Roman"/>
          <w:b/>
          <w:bCs/>
          <w:noProof/>
          <w:color w:val="003399" w:themeColor="text2"/>
          <w:kern w:val="0"/>
          <w:szCs w:val="20"/>
          <w:lang w:val="en-GB" w:eastAsia="en-GB"/>
          <w14:ligatures w14:val="none"/>
        </w:rPr>
        <w:t xml:space="preserve"> </w:t>
      </w:r>
      <w:r w:rsidRPr="004B6CD8">
        <w:rPr>
          <w:rFonts w:eastAsia="Calibri" w:cs="Times New Roman"/>
          <w:noProof/>
          <w:kern w:val="0"/>
          <w:lang w:val="en-GB"/>
          <w14:ligatures w14:val="none"/>
        </w:rPr>
        <w:t>improve the IT security management processes.</w:t>
      </w:r>
    </w:p>
    <w:tbl>
      <w:tblPr>
        <w:tblStyle w:val="amprtableboxPURPLEdashed"/>
        <w:tblW w:w="5000" w:type="pct"/>
        <w:tblBorders>
          <w:top w:val="single" w:sz="6" w:space="0" w:color="DC165D" w:themeColor="accent5"/>
          <w:left w:val="single" w:sz="6" w:space="0" w:color="DC165D" w:themeColor="accent5"/>
          <w:bottom w:val="single" w:sz="6" w:space="0" w:color="DC165D" w:themeColor="accent5"/>
          <w:right w:val="single" w:sz="6" w:space="0" w:color="DC165D" w:themeColor="accent5"/>
        </w:tblBorders>
        <w:tblLook w:val="04A0" w:firstRow="1" w:lastRow="0" w:firstColumn="1" w:lastColumn="0" w:noHBand="0" w:noVBand="1"/>
      </w:tblPr>
      <w:tblGrid>
        <w:gridCol w:w="9057"/>
      </w:tblGrid>
      <w:tr w:rsidR="009B376A" w:rsidRPr="007F05B2" w14:paraId="5E5163DC" w14:textId="77777777">
        <w:tc>
          <w:tcPr>
            <w:tcW w:w="9057" w:type="dxa"/>
          </w:tcPr>
          <w:p w14:paraId="204427FF" w14:textId="77777777" w:rsidR="000D5E77" w:rsidRPr="004B6CD8" w:rsidRDefault="000D5E77" w:rsidP="000D5E77">
            <w:pPr>
              <w:pStyle w:val="boldblue"/>
            </w:pPr>
            <w:r w:rsidRPr="004B6CD8">
              <w:t>Additional information provided by DG HR on the implemented measures</w:t>
            </w:r>
          </w:p>
          <w:p w14:paraId="78C5FB94" w14:textId="518372A2" w:rsidR="009B376A" w:rsidRPr="004B6CD8" w:rsidRDefault="003437FE" w:rsidP="000D5E77">
            <w:pPr>
              <w:jc w:val="both"/>
              <w:rPr>
                <w:noProof/>
              </w:rPr>
            </w:pPr>
            <w:r w:rsidRPr="004B6CD8">
              <w:rPr>
                <w:noProof/>
              </w:rPr>
              <w:t>DG HR submitted an action plan</w:t>
            </w:r>
            <w:r w:rsidR="004239BE">
              <w:rPr>
                <w:noProof/>
              </w:rPr>
              <w:t xml:space="preserve">, </w:t>
            </w:r>
            <w:r w:rsidR="00E3411F">
              <w:rPr>
                <w:noProof/>
              </w:rPr>
              <w:t>assessed</w:t>
            </w:r>
            <w:r w:rsidR="00E3411F" w:rsidRPr="004B6CD8">
              <w:rPr>
                <w:noProof/>
              </w:rPr>
              <w:t xml:space="preserve"> </w:t>
            </w:r>
            <w:r w:rsidR="004239BE">
              <w:rPr>
                <w:noProof/>
              </w:rPr>
              <w:t xml:space="preserve">as satisfactory </w:t>
            </w:r>
            <w:r w:rsidRPr="004B6CD8">
              <w:rPr>
                <w:noProof/>
              </w:rPr>
              <w:t xml:space="preserve">by the IAS in June 2025. All planned measures are expected to be fully completed within the agreed timeframe (September 2026), ensuring a robust, systematic, and well-governed approach to IT security across the </w:t>
            </w:r>
            <w:r w:rsidR="008A53FC" w:rsidRPr="008A53FC">
              <w:rPr>
                <w:noProof/>
              </w:rPr>
              <w:t xml:space="preserve">Human Resources Transformation </w:t>
            </w:r>
            <w:r w:rsidRPr="004B6CD8">
              <w:rPr>
                <w:noProof/>
              </w:rPr>
              <w:t>Programme. Significant progress has already been achieved, with key actions either completed or in their final stages. Notably, the implementation of IT Security Plans is periodically monitored and formally approved by the Steering Committee.</w:t>
            </w:r>
          </w:p>
        </w:tc>
      </w:tr>
    </w:tbl>
    <w:p w14:paraId="5334AD22" w14:textId="77777777" w:rsidR="0057062A" w:rsidRPr="004B6CD8" w:rsidRDefault="0057062A" w:rsidP="0057062A">
      <w:pPr>
        <w:rPr>
          <w:rFonts w:eastAsia="Calibri" w:cs="Tunga"/>
          <w:noProof/>
          <w:szCs w:val="20"/>
          <w:lang w:val="en-GB"/>
        </w:rPr>
      </w:pPr>
      <w:r w:rsidRPr="004B6CD8">
        <w:rPr>
          <w:rFonts w:eastAsia="Calibri" w:cs="Tunga"/>
          <w:noProof/>
          <w:szCs w:val="20"/>
          <w:lang w:val="en-GB"/>
        </w:rPr>
        <w:br w:type="page"/>
      </w:r>
    </w:p>
    <w:p w14:paraId="6B1AD76B" w14:textId="77777777" w:rsidR="0057062A" w:rsidRPr="004B6CD8" w:rsidRDefault="0057062A" w:rsidP="0057062A">
      <w:pPr>
        <w:jc w:val="both"/>
        <w:rPr>
          <w:rFonts w:eastAsia="Calibri" w:cs="Times New Roman"/>
          <w:noProof/>
          <w:kern w:val="0"/>
          <w:lang w:val="en-GB"/>
          <w14:ligatures w14:val="none"/>
        </w:rPr>
        <w:sectPr w:rsidR="0057062A" w:rsidRPr="004B6CD8" w:rsidSect="0057062A">
          <w:headerReference w:type="even" r:id="rId36"/>
          <w:headerReference w:type="default" r:id="rId37"/>
          <w:footerReference w:type="even" r:id="rId38"/>
          <w:footerReference w:type="default" r:id="rId39"/>
          <w:headerReference w:type="first" r:id="rId40"/>
          <w:footerReference w:type="first" r:id="rId41"/>
          <w:endnotePr>
            <w:pos w:val="sectEnd"/>
            <w:numFmt w:val="lowerLetter"/>
          </w:endnotePr>
          <w:pgSz w:w="11907" w:h="16839" w:code="9"/>
          <w:pgMar w:top="1247" w:right="1417" w:bottom="1247" w:left="1417" w:header="680" w:footer="566" w:gutter="0"/>
          <w:cols w:space="720"/>
          <w:docGrid w:linePitch="272"/>
        </w:sectPr>
      </w:pPr>
      <w:bookmarkStart w:id="73" w:name="_Toc2946448"/>
      <w:bookmarkEnd w:id="63"/>
    </w:p>
    <w:p w14:paraId="7FC70DBE" w14:textId="77777777" w:rsidR="0057062A" w:rsidRPr="004B6CD8" w:rsidRDefault="0057062A" w:rsidP="0057062A">
      <w:pPr>
        <w:rPr>
          <w:rFonts w:eastAsia="Calibri" w:cs="Times New Roman"/>
          <w:noProof/>
          <w:kern w:val="0"/>
          <w:lang w:val="en-GB"/>
          <w14:ligatures w14:val="none"/>
        </w:rPr>
      </w:pPr>
    </w:p>
    <w:p w14:paraId="12672531" w14:textId="77777777" w:rsidR="0057062A" w:rsidRPr="004B6CD8" w:rsidRDefault="0057062A" w:rsidP="0057062A">
      <w:pPr>
        <w:rPr>
          <w:rFonts w:eastAsia="Calibri" w:cs="Times New Roman"/>
          <w:noProof/>
          <w:kern w:val="0"/>
          <w:lang w:val="en-GB" w:eastAsia="zh-CN"/>
          <w14:ligatures w14:val="none"/>
        </w:rPr>
      </w:pPr>
    </w:p>
    <w:p w14:paraId="1A0A8353" w14:textId="77777777" w:rsidR="0057062A" w:rsidRPr="004B6CD8" w:rsidRDefault="0057062A" w:rsidP="0057062A">
      <w:pPr>
        <w:rPr>
          <w:rFonts w:eastAsia="Calibri" w:cs="Times New Roman"/>
          <w:noProof/>
          <w:color w:val="7F7F7F"/>
          <w:kern w:val="0"/>
          <w:lang w:val="en-GB" w:eastAsia="zh-CN"/>
          <w14:ligatures w14:val="none"/>
        </w:rPr>
      </w:pPr>
    </w:p>
    <w:p w14:paraId="205CB54F" w14:textId="77777777" w:rsidR="0057062A" w:rsidRPr="004B6CD8" w:rsidRDefault="0057062A" w:rsidP="0057062A">
      <w:pPr>
        <w:rPr>
          <w:rFonts w:eastAsia="Calibri" w:cs="Times New Roman"/>
          <w:noProof/>
          <w:color w:val="7F7F7F"/>
          <w:kern w:val="0"/>
          <w:lang w:val="en-GB"/>
          <w14:ligatures w14:val="none"/>
        </w:rPr>
      </w:pPr>
    </w:p>
    <w:bookmarkEnd w:id="73"/>
    <w:p w14:paraId="1FA46D58" w14:textId="77777777" w:rsidR="0057062A" w:rsidRPr="004B6CD8" w:rsidRDefault="0057062A" w:rsidP="0057062A">
      <w:pPr>
        <w:rPr>
          <w:rFonts w:eastAsia="Calibri" w:cs="Times New Roman"/>
          <w:noProof/>
          <w:kern w:val="0"/>
          <w:lang w:val="en-GB"/>
          <w14:ligatures w14:val="none"/>
        </w:rPr>
      </w:pPr>
    </w:p>
    <w:p w14:paraId="0203940D" w14:textId="77777777" w:rsidR="0057062A" w:rsidRPr="004B6CD8" w:rsidRDefault="0057062A" w:rsidP="0057062A">
      <w:pPr>
        <w:rPr>
          <w:rFonts w:eastAsia="Calibri" w:cs="Times New Roman"/>
          <w:noProof/>
          <w:kern w:val="0"/>
          <w:lang w:val="en-GB"/>
          <w14:ligatures w14:val="none"/>
        </w:rPr>
      </w:pPr>
    </w:p>
    <w:p w14:paraId="5E536A59" w14:textId="77777777" w:rsidR="0057062A" w:rsidRPr="004B6CD8" w:rsidRDefault="0057062A" w:rsidP="0057062A">
      <w:pPr>
        <w:rPr>
          <w:rFonts w:eastAsia="Calibri" w:cs="Times New Roman"/>
          <w:noProof/>
          <w:kern w:val="0"/>
          <w:lang w:val="en-GB"/>
          <w14:ligatures w14:val="none"/>
        </w:rPr>
      </w:pPr>
    </w:p>
    <w:p w14:paraId="4123B7F1" w14:textId="77777777" w:rsidR="0057062A" w:rsidRPr="004B6CD8" w:rsidRDefault="0057062A" w:rsidP="0057062A">
      <w:pPr>
        <w:rPr>
          <w:rFonts w:eastAsia="Calibri" w:cs="Times New Roman"/>
          <w:noProof/>
          <w:kern w:val="0"/>
          <w:lang w:val="en-GB"/>
          <w14:ligatures w14:val="none"/>
        </w:rPr>
      </w:pPr>
    </w:p>
    <w:p w14:paraId="125480B4" w14:textId="77777777" w:rsidR="0057062A" w:rsidRPr="004B6CD8" w:rsidRDefault="0057062A" w:rsidP="0057062A">
      <w:pPr>
        <w:rPr>
          <w:rFonts w:eastAsia="Calibri" w:cs="Times New Roman"/>
          <w:noProof/>
          <w:kern w:val="0"/>
          <w:lang w:val="en-GB"/>
          <w14:ligatures w14:val="none"/>
        </w:rPr>
      </w:pPr>
    </w:p>
    <w:p w14:paraId="4EDA3F4C" w14:textId="77777777" w:rsidR="0057062A" w:rsidRPr="004B6CD8" w:rsidRDefault="0057062A" w:rsidP="0057062A">
      <w:pPr>
        <w:rPr>
          <w:rFonts w:eastAsia="Calibri" w:cs="Times New Roman"/>
          <w:noProof/>
          <w:kern w:val="0"/>
          <w:lang w:val="en-GB"/>
          <w14:ligatures w14:val="none"/>
        </w:rPr>
      </w:pPr>
    </w:p>
    <w:p w14:paraId="25BB3282" w14:textId="77777777" w:rsidR="0057062A" w:rsidRPr="004B6CD8" w:rsidRDefault="0057062A" w:rsidP="0057062A">
      <w:pPr>
        <w:rPr>
          <w:rFonts w:eastAsia="Calibri" w:cs="Times New Roman"/>
          <w:noProof/>
          <w:kern w:val="0"/>
          <w:lang w:val="en-GB"/>
          <w14:ligatures w14:val="none"/>
        </w:rPr>
      </w:pPr>
    </w:p>
    <w:p w14:paraId="198D6E49" w14:textId="77777777" w:rsidR="0057062A" w:rsidRPr="004B6CD8" w:rsidRDefault="0057062A" w:rsidP="0057062A">
      <w:pPr>
        <w:rPr>
          <w:rFonts w:eastAsia="Calibri" w:cs="Times New Roman"/>
          <w:noProof/>
          <w:kern w:val="0"/>
          <w:lang w:val="en-GB"/>
          <w14:ligatures w14:val="none"/>
        </w:rPr>
      </w:pPr>
    </w:p>
    <w:p w14:paraId="61CC9DD1" w14:textId="77777777" w:rsidR="0057062A" w:rsidRPr="004B6CD8" w:rsidRDefault="0057062A" w:rsidP="0057062A">
      <w:pPr>
        <w:rPr>
          <w:rFonts w:eastAsia="Calibri" w:cs="Times New Roman"/>
          <w:noProof/>
          <w:kern w:val="0"/>
          <w:lang w:val="en-GB"/>
          <w14:ligatures w14:val="none"/>
        </w:rPr>
      </w:pPr>
    </w:p>
    <w:p w14:paraId="03013AA2" w14:textId="77777777" w:rsidR="0057062A" w:rsidRPr="004B6CD8" w:rsidRDefault="0057062A" w:rsidP="0057062A">
      <w:pPr>
        <w:rPr>
          <w:rFonts w:eastAsia="Calibri" w:cs="Times New Roman"/>
          <w:noProof/>
          <w:kern w:val="0"/>
          <w:lang w:val="en-GB"/>
          <w14:ligatures w14:val="none"/>
        </w:rPr>
      </w:pPr>
    </w:p>
    <w:p w14:paraId="6133153E" w14:textId="77777777" w:rsidR="0057062A" w:rsidRPr="004B6CD8" w:rsidRDefault="0057062A" w:rsidP="0057062A">
      <w:pPr>
        <w:rPr>
          <w:rFonts w:eastAsia="Calibri" w:cs="Times New Roman"/>
          <w:noProof/>
          <w:kern w:val="0"/>
          <w:sz w:val="16"/>
          <w:lang w:val="en-GB"/>
          <w14:ligatures w14:val="none"/>
        </w:rPr>
      </w:pPr>
    </w:p>
    <w:p w14:paraId="7FC2D4CC" w14:textId="77777777" w:rsidR="0057062A" w:rsidRPr="004B6CD8" w:rsidRDefault="0057062A" w:rsidP="0057062A">
      <w:pPr>
        <w:spacing w:after="0" w:line="264" w:lineRule="auto"/>
        <w:ind w:left="3912"/>
        <w:rPr>
          <w:rFonts w:eastAsia="Times New Roman" w:cs="Times New Roman"/>
          <w:noProof/>
          <w:color w:val="FFFFFF"/>
          <w:kern w:val="0"/>
          <w:sz w:val="56"/>
          <w:szCs w:val="20"/>
          <w:lang w:val="en-GB" w:eastAsia="zh-CN"/>
          <w14:ligatures w14:val="none"/>
        </w:rPr>
      </w:pPr>
      <w:bookmarkStart w:id="74" w:name="_Toc134804292"/>
    </w:p>
    <w:p w14:paraId="706A8ED1" w14:textId="77777777" w:rsidR="0057062A" w:rsidRPr="004B6CD8" w:rsidRDefault="0057062A" w:rsidP="0057062A">
      <w:pPr>
        <w:spacing w:after="0" w:line="264" w:lineRule="auto"/>
        <w:ind w:left="3912"/>
        <w:rPr>
          <w:rFonts w:eastAsia="Times New Roman" w:cs="Times New Roman"/>
          <w:noProof/>
          <w:color w:val="FFFFFF"/>
          <w:kern w:val="0"/>
          <w:sz w:val="56"/>
          <w:szCs w:val="20"/>
          <w:lang w:val="en-GB" w:eastAsia="zh-CN"/>
          <w14:ligatures w14:val="none"/>
        </w:rPr>
      </w:pPr>
    </w:p>
    <w:p w14:paraId="42F5D9BE" w14:textId="3C7F608E" w:rsidR="0057062A" w:rsidRPr="004B6CD8" w:rsidRDefault="0057062A" w:rsidP="00E503F3">
      <w:pPr>
        <w:pStyle w:val="amprH1Sectiontitle"/>
        <w:rPr>
          <w:noProof/>
        </w:rPr>
        <w:sectPr w:rsidR="0057062A" w:rsidRPr="004B6CD8" w:rsidSect="0057062A">
          <w:headerReference w:type="even" r:id="rId42"/>
          <w:headerReference w:type="default" r:id="rId43"/>
          <w:footerReference w:type="even" r:id="rId44"/>
          <w:footerReference w:type="default" r:id="rId45"/>
          <w:headerReference w:type="first" r:id="rId46"/>
          <w:footerReference w:type="first" r:id="rId47"/>
          <w:endnotePr>
            <w:pos w:val="sectEnd"/>
            <w:numFmt w:val="lowerLetter"/>
          </w:endnotePr>
          <w:pgSz w:w="11907" w:h="16839" w:code="9"/>
          <w:pgMar w:top="1247" w:right="1417" w:bottom="1247" w:left="1417" w:header="680" w:footer="566" w:gutter="0"/>
          <w:cols w:space="720"/>
          <w:docGrid w:linePitch="272"/>
        </w:sectPr>
      </w:pPr>
      <w:bookmarkStart w:id="75" w:name="_Toc196835213"/>
      <w:bookmarkStart w:id="76" w:name="_Toc231235452"/>
      <w:r w:rsidRPr="004B6CD8">
        <w:rPr>
          <w:noProof/>
        </w:rPr>
        <w:t>Part 2</w:t>
      </w:r>
      <w:r w:rsidRPr="004B6CD8">
        <w:rPr>
          <w:noProof/>
        </w:rPr>
        <w:br/>
        <w:t>Follow-up engagement</w:t>
      </w:r>
      <w:bookmarkEnd w:id="74"/>
      <w:bookmarkEnd w:id="75"/>
      <w:r w:rsidR="00A6459F">
        <w:rPr>
          <w:noProof/>
        </w:rPr>
        <w:t>s</w:t>
      </w:r>
      <w:bookmarkEnd w:id="76"/>
    </w:p>
    <w:p w14:paraId="2F64091E" w14:textId="13F43228" w:rsidR="00D74BE0" w:rsidRPr="004B6CD8" w:rsidRDefault="0057062A" w:rsidP="00D74BE0">
      <w:pPr>
        <w:pStyle w:val="amprH2Title1"/>
        <w:rPr>
          <w:noProof/>
        </w:rPr>
      </w:pPr>
      <w:bookmarkStart w:id="77" w:name="_Toc132296345"/>
      <w:bookmarkStart w:id="78" w:name="_Toc132296558"/>
      <w:bookmarkStart w:id="79" w:name="_Toc132296624"/>
      <w:bookmarkStart w:id="80" w:name="_Toc132296690"/>
      <w:bookmarkStart w:id="81" w:name="_Toc132296757"/>
      <w:bookmarkStart w:id="82" w:name="_Toc132364991"/>
      <w:bookmarkStart w:id="83" w:name="_Toc132365056"/>
      <w:bookmarkStart w:id="84" w:name="_Toc134793880"/>
      <w:bookmarkStart w:id="85" w:name="_Toc134794019"/>
      <w:bookmarkStart w:id="86" w:name="_Toc134802808"/>
      <w:bookmarkStart w:id="87" w:name="_Toc231235453"/>
      <w:bookmarkStart w:id="88" w:name="_Toc131535767"/>
      <w:bookmarkStart w:id="89" w:name="_Toc134794020"/>
      <w:bookmarkStart w:id="90" w:name="_Toc134804293"/>
      <w:bookmarkEnd w:id="77"/>
      <w:bookmarkEnd w:id="78"/>
      <w:bookmarkEnd w:id="79"/>
      <w:bookmarkEnd w:id="80"/>
      <w:bookmarkEnd w:id="81"/>
      <w:bookmarkEnd w:id="82"/>
      <w:bookmarkEnd w:id="83"/>
      <w:bookmarkEnd w:id="84"/>
      <w:bookmarkEnd w:id="85"/>
      <w:bookmarkEnd w:id="86"/>
      <w:r w:rsidRPr="004B6CD8">
        <w:rPr>
          <w:noProof/>
        </w:rPr>
        <w:t>Audits for which some recommendations remain open</w:t>
      </w:r>
      <w:r w:rsidR="006439D4" w:rsidRPr="004B6CD8">
        <w:rPr>
          <w:noProof/>
        </w:rPr>
        <w:t xml:space="preserve"> after IAS follow-up in 2025</w:t>
      </w:r>
      <w:bookmarkStart w:id="91" w:name="_Toc196835214"/>
      <w:bookmarkStart w:id="92" w:name="_Toc196835215"/>
      <w:bookmarkStart w:id="93" w:name="_Toc196835216"/>
      <w:bookmarkEnd w:id="91"/>
      <w:bookmarkEnd w:id="92"/>
      <w:r w:rsidR="002A5948">
        <w:rPr>
          <w:noProof/>
        </w:rPr>
        <w:t xml:space="preserve"> (</w:t>
      </w:r>
      <w:r w:rsidR="002A5948">
        <w:rPr>
          <w:rStyle w:val="FootnoteReference"/>
          <w:noProof/>
        </w:rPr>
        <w:footnoteReference w:id="6"/>
      </w:r>
      <w:r w:rsidR="002A5948">
        <w:rPr>
          <w:noProof/>
        </w:rPr>
        <w:t>)</w:t>
      </w:r>
      <w:bookmarkEnd w:id="87"/>
      <w:r w:rsidR="0099114E">
        <w:rPr>
          <w:noProof/>
        </w:rPr>
        <w:t xml:space="preserve"> </w:t>
      </w:r>
    </w:p>
    <w:p w14:paraId="72CCA1BC" w14:textId="2EEC040C" w:rsidR="0057062A" w:rsidRPr="004B6CD8" w:rsidRDefault="0057062A" w:rsidP="00D74BE0">
      <w:pPr>
        <w:pStyle w:val="amprH3Title2-Numbered-11"/>
        <w:rPr>
          <w:rStyle w:val="Strong"/>
          <w:rFonts w:eastAsia="EC Square Sans Pro"/>
          <w:b/>
          <w:iCs w:val="0"/>
          <w:noProof/>
          <w:sz w:val="28"/>
          <w:szCs w:val="21"/>
          <w:lang w:eastAsia="zh-CN"/>
        </w:rPr>
      </w:pPr>
      <w:bookmarkStart w:id="94" w:name="_Toc231235454"/>
      <w:r w:rsidRPr="004B6CD8">
        <w:rPr>
          <w:noProof/>
        </w:rPr>
        <w:t xml:space="preserve">Audit on </w:t>
      </w:r>
      <w:bookmarkEnd w:id="88"/>
      <w:bookmarkEnd w:id="89"/>
      <w:bookmarkEnd w:id="90"/>
      <w:bookmarkEnd w:id="93"/>
      <w:r w:rsidR="00F015C0" w:rsidRPr="004B6CD8">
        <w:rPr>
          <w:noProof/>
        </w:rPr>
        <w:t xml:space="preserve">the </w:t>
      </w:r>
      <w:r w:rsidR="006439D4" w:rsidRPr="004B6CD8">
        <w:rPr>
          <w:noProof/>
        </w:rPr>
        <w:t>preparedness of DG AGRI in designing the assurance building model under the new Common Agricultural Policy Strategic Plans</w:t>
      </w:r>
      <w:bookmarkEnd w:id="94"/>
    </w:p>
    <w:p w14:paraId="3FB78357" w14:textId="19D1E6A0" w:rsidR="00F015C0" w:rsidRPr="00874637" w:rsidRDefault="00F015C0" w:rsidP="66263CC9">
      <w:pPr>
        <w:jc w:val="both"/>
        <w:rPr>
          <w:rStyle w:val="Strong"/>
          <w:noProof/>
          <w:lang w:val="en-IE"/>
        </w:rPr>
      </w:pPr>
      <w:r w:rsidRPr="00874637">
        <w:rPr>
          <w:rStyle w:val="Strong"/>
          <w:noProof/>
          <w:lang w:val="en-IE"/>
        </w:rPr>
        <w:t xml:space="preserve">Follow-up performed in DG </w:t>
      </w:r>
      <w:bookmarkStart w:id="95" w:name="_Hlk228267793"/>
      <w:r w:rsidR="00917453" w:rsidRPr="00874637">
        <w:rPr>
          <w:rStyle w:val="Strong"/>
          <w:noProof/>
          <w:lang w:val="en-IE"/>
        </w:rPr>
        <w:t xml:space="preserve">AGRI </w:t>
      </w:r>
      <w:bookmarkEnd w:id="95"/>
    </w:p>
    <w:p w14:paraId="617AEC8E" w14:textId="1DFEB948" w:rsidR="00F015C0" w:rsidRPr="004B6CD8" w:rsidRDefault="00F015C0" w:rsidP="00F015C0">
      <w:pPr>
        <w:jc w:val="both"/>
        <w:rPr>
          <w:rFonts w:eastAsia="Calibri" w:cs="Times New Roman"/>
          <w:noProof/>
          <w:kern w:val="0"/>
          <w:lang w:val="en-GB"/>
          <w14:ligatures w14:val="none"/>
        </w:rPr>
      </w:pPr>
      <w:r w:rsidRPr="004B6CD8">
        <w:rPr>
          <w:rFonts w:eastAsia="Calibri" w:cs="Times New Roman"/>
          <w:noProof/>
          <w:kern w:val="0"/>
          <w:lang w:val="en-GB"/>
          <w14:ligatures w14:val="none"/>
        </w:rPr>
        <w:t>Based on the results of the follow-up audit, the IAS concluded that the following recommendations w</w:t>
      </w:r>
      <w:r w:rsidR="001C108A" w:rsidRPr="004B6CD8">
        <w:rPr>
          <w:rFonts w:eastAsia="Calibri" w:cs="Times New Roman"/>
          <w:noProof/>
          <w:kern w:val="0"/>
          <w:lang w:val="en-GB"/>
          <w14:ligatures w14:val="none"/>
        </w:rPr>
        <w:t>ere</w:t>
      </w:r>
      <w:r w:rsidRPr="004B6CD8">
        <w:rPr>
          <w:rFonts w:eastAsia="Calibri" w:cs="Times New Roman"/>
          <w:noProof/>
          <w:kern w:val="0"/>
          <w:lang w:val="en-GB"/>
          <w14:ligatures w14:val="none"/>
        </w:rPr>
        <w:t xml:space="preserve"> adequately and effectively implemented:</w:t>
      </w:r>
    </w:p>
    <w:p w14:paraId="31A845C7" w14:textId="2728E00F" w:rsidR="00917453" w:rsidRPr="004B6CD8" w:rsidRDefault="00F015C0" w:rsidP="00917453">
      <w:pPr>
        <w:pStyle w:val="amprLISTtealbullets-L1"/>
        <w:rPr>
          <w:rFonts w:eastAsia="Calibri" w:cs="Times New Roman"/>
          <w:noProof/>
        </w:rPr>
      </w:pPr>
      <w:r w:rsidRPr="004B6CD8">
        <w:rPr>
          <w:rFonts w:eastAsia="Calibri" w:cs="Times New Roman"/>
          <w:noProof/>
        </w:rPr>
        <w:t>Recommendation No 1 (</w:t>
      </w:r>
      <w:r w:rsidR="00917453" w:rsidRPr="004B6CD8">
        <w:rPr>
          <w:rFonts w:eastAsia="Calibri" w:cs="Times New Roman"/>
          <w:noProof/>
        </w:rPr>
        <w:t xml:space="preserve">very </w:t>
      </w:r>
      <w:r w:rsidRPr="004B6CD8">
        <w:rPr>
          <w:rFonts w:eastAsia="Calibri" w:cs="Times New Roman"/>
          <w:noProof/>
        </w:rPr>
        <w:t xml:space="preserve">important): </w:t>
      </w:r>
      <w:r w:rsidR="00917453" w:rsidRPr="004B6CD8">
        <w:rPr>
          <w:rFonts w:eastAsia="Calibri" w:cs="Times New Roman"/>
          <w:noProof/>
        </w:rPr>
        <w:t>design of the assurance framework under the New Delivery Model</w:t>
      </w:r>
      <w:r w:rsidR="00D74BE0" w:rsidRPr="004B6CD8">
        <w:rPr>
          <w:rFonts w:eastAsia="Calibri" w:cs="Times New Roman"/>
          <w:noProof/>
        </w:rPr>
        <w:t>.</w:t>
      </w:r>
    </w:p>
    <w:p w14:paraId="152949B2" w14:textId="66286CEC" w:rsidR="00917453" w:rsidRPr="004B6CD8" w:rsidRDefault="00F015C0" w:rsidP="003079ED">
      <w:pPr>
        <w:pStyle w:val="amprLISTtealbullets-L1"/>
        <w:rPr>
          <w:rFonts w:eastAsia="Calibri"/>
          <w:noProof/>
        </w:rPr>
      </w:pPr>
      <w:r w:rsidRPr="004B6CD8">
        <w:rPr>
          <w:rFonts w:eastAsia="Calibri" w:cs="Times New Roman"/>
          <w:noProof/>
        </w:rPr>
        <w:t xml:space="preserve">Recommendation No 4 </w:t>
      </w:r>
      <w:r w:rsidR="00917453" w:rsidRPr="004B6CD8">
        <w:rPr>
          <w:rFonts w:eastAsia="Calibri" w:cs="Times New Roman"/>
          <w:noProof/>
        </w:rPr>
        <w:t>(very important): decision on how</w:t>
      </w:r>
      <w:r w:rsidR="00917453" w:rsidRPr="004B6CD8">
        <w:rPr>
          <w:rFonts w:eastAsia="Calibri"/>
          <w:noProof/>
        </w:rPr>
        <w:t xml:space="preserve"> to </w:t>
      </w:r>
      <w:r w:rsidR="00917453" w:rsidRPr="004B6CD8">
        <w:rPr>
          <w:rFonts w:eastAsia="Calibri" w:cs="Times New Roman"/>
          <w:noProof/>
        </w:rPr>
        <w:t>report</w:t>
      </w:r>
      <w:r w:rsidR="00917453" w:rsidRPr="004B6CD8">
        <w:rPr>
          <w:rFonts w:eastAsia="Calibri"/>
          <w:noProof/>
        </w:rPr>
        <w:t xml:space="preserve"> on </w:t>
      </w:r>
      <w:r w:rsidR="00917453" w:rsidRPr="004B6CD8">
        <w:rPr>
          <w:rFonts w:eastAsia="Calibri" w:cs="Times New Roman"/>
          <w:noProof/>
        </w:rPr>
        <w:t>assurance for expenditure under</w:t>
      </w:r>
      <w:r w:rsidR="00917453" w:rsidRPr="004B6CD8">
        <w:rPr>
          <w:rFonts w:eastAsia="Calibri"/>
          <w:noProof/>
        </w:rPr>
        <w:t xml:space="preserve"> the </w:t>
      </w:r>
      <w:r w:rsidR="00917453" w:rsidRPr="004B6CD8">
        <w:rPr>
          <w:rFonts w:eastAsia="Calibri" w:cs="Times New Roman"/>
          <w:noProof/>
        </w:rPr>
        <w:t xml:space="preserve">Common Agricultural Policy Strategic Plan in </w:t>
      </w:r>
      <w:r w:rsidR="00917453" w:rsidRPr="004B6CD8">
        <w:rPr>
          <w:rFonts w:eastAsia="Calibri"/>
          <w:noProof/>
        </w:rPr>
        <w:t xml:space="preserve">the </w:t>
      </w:r>
      <w:r w:rsidR="00917453" w:rsidRPr="004B6CD8">
        <w:rPr>
          <w:rFonts w:eastAsia="Calibri" w:cs="Times New Roman"/>
          <w:noProof/>
        </w:rPr>
        <w:t>Annual Activity Report not yet in place</w:t>
      </w:r>
      <w:r w:rsidR="00D74BE0" w:rsidRPr="004B6CD8">
        <w:rPr>
          <w:rFonts w:eastAsia="Calibri" w:cs="Times New Roman"/>
          <w:noProof/>
        </w:rPr>
        <w:t>.</w:t>
      </w:r>
    </w:p>
    <w:p w14:paraId="4EA46892" w14:textId="59803FB4" w:rsidR="0057062A" w:rsidRPr="004B6CD8" w:rsidRDefault="0057062A" w:rsidP="007211FD">
      <w:pPr>
        <w:pStyle w:val="amprH3Title2-Numbered-11"/>
        <w:rPr>
          <w:rStyle w:val="Strong"/>
          <w:rFonts w:eastAsia="EC Square Sans Pro"/>
          <w:b/>
          <w:iCs w:val="0"/>
          <w:noProof/>
          <w:sz w:val="28"/>
          <w:szCs w:val="21"/>
          <w:lang w:eastAsia="zh-CN"/>
        </w:rPr>
      </w:pPr>
      <w:bookmarkStart w:id="96" w:name="_Toc196835217"/>
      <w:bookmarkStart w:id="97" w:name="_Toc231235455"/>
      <w:r w:rsidRPr="004B6CD8">
        <w:rPr>
          <w:noProof/>
        </w:rPr>
        <w:t xml:space="preserve">Audit on </w:t>
      </w:r>
      <w:bookmarkEnd w:id="96"/>
      <w:r w:rsidR="007211FD" w:rsidRPr="004B6CD8">
        <w:rPr>
          <w:noProof/>
        </w:rPr>
        <w:t>CASE@EC project in DG COMP</w:t>
      </w:r>
      <w:bookmarkEnd w:id="97"/>
    </w:p>
    <w:p w14:paraId="56566C55" w14:textId="343EE8E1" w:rsidR="002A6FFF" w:rsidRPr="00874637" w:rsidRDefault="002A6FFF" w:rsidP="66263CC9">
      <w:pPr>
        <w:jc w:val="both"/>
        <w:rPr>
          <w:rStyle w:val="Strong"/>
          <w:noProof/>
          <w:lang w:val="en-IE"/>
        </w:rPr>
      </w:pPr>
      <w:r w:rsidRPr="00874637">
        <w:rPr>
          <w:rStyle w:val="Strong"/>
          <w:noProof/>
          <w:lang w:val="en-IE"/>
        </w:rPr>
        <w:t xml:space="preserve">Follow-up performed in DG </w:t>
      </w:r>
      <w:r w:rsidR="007211FD" w:rsidRPr="00874637">
        <w:rPr>
          <w:rStyle w:val="Strong"/>
          <w:noProof/>
          <w:lang w:val="en-IE"/>
        </w:rPr>
        <w:t>COMP</w:t>
      </w:r>
    </w:p>
    <w:p w14:paraId="3D117795" w14:textId="4C86D6D7" w:rsidR="002A6FFF" w:rsidRPr="004B6CD8" w:rsidRDefault="002A6FFF" w:rsidP="001123F7">
      <w:pPr>
        <w:jc w:val="both"/>
        <w:rPr>
          <w:rFonts w:eastAsia="Calibri" w:cs="Times New Roman"/>
          <w:noProof/>
          <w:kern w:val="0"/>
          <w:lang w:val="en-GB"/>
          <w14:ligatures w14:val="none"/>
        </w:rPr>
      </w:pPr>
      <w:r w:rsidRPr="004B6CD8">
        <w:rPr>
          <w:rFonts w:eastAsia="Calibri" w:cs="Times New Roman"/>
          <w:noProof/>
          <w:kern w:val="0"/>
          <w:lang w:val="en-GB"/>
          <w14:ligatures w14:val="none"/>
        </w:rPr>
        <w:t>Based on the results of the follow-up audit, the IAS concluded that the following recommendation was adequately and effectively implemented:</w:t>
      </w:r>
    </w:p>
    <w:p w14:paraId="062732B2" w14:textId="340163DD" w:rsidR="007211FD" w:rsidRPr="004B6CD8" w:rsidRDefault="001123F7" w:rsidP="007211FD">
      <w:pPr>
        <w:pStyle w:val="amprLISTtealbullets-L1"/>
        <w:rPr>
          <w:rFonts w:eastAsia="Calibri"/>
          <w:noProof/>
        </w:rPr>
      </w:pPr>
      <w:r w:rsidRPr="004B6CD8">
        <w:rPr>
          <w:rFonts w:eastAsia="Calibri"/>
          <w:noProof/>
        </w:rPr>
        <w:t>Recommendation No 2</w:t>
      </w:r>
      <w:bookmarkStart w:id="98" w:name="_Toc196835218"/>
      <w:r w:rsidR="007211FD" w:rsidRPr="004B6CD8">
        <w:rPr>
          <w:rFonts w:eastAsia="Calibri"/>
          <w:noProof/>
        </w:rPr>
        <w:t xml:space="preserve"> (very important): IT security arrangements</w:t>
      </w:r>
      <w:r w:rsidR="003E0FE7" w:rsidRPr="004B6CD8">
        <w:rPr>
          <w:rFonts w:eastAsia="Calibri"/>
          <w:noProof/>
        </w:rPr>
        <w:t>.</w:t>
      </w:r>
    </w:p>
    <w:p w14:paraId="4A9EF444" w14:textId="12F72B14" w:rsidR="0057062A" w:rsidRPr="004B6CD8" w:rsidRDefault="0057062A" w:rsidP="007211FD">
      <w:pPr>
        <w:pStyle w:val="amprH3Title2-Numbered-11"/>
        <w:rPr>
          <w:rStyle w:val="Strong"/>
          <w:rFonts w:eastAsia="EC Square Sans Pro"/>
          <w:b/>
          <w:iCs w:val="0"/>
          <w:noProof/>
          <w:sz w:val="28"/>
          <w:szCs w:val="21"/>
          <w:lang w:eastAsia="zh-CN"/>
        </w:rPr>
      </w:pPr>
      <w:bookmarkStart w:id="99" w:name="_Toc131535770"/>
      <w:bookmarkStart w:id="100" w:name="_Toc134794023"/>
      <w:bookmarkStart w:id="101" w:name="_Toc134804296"/>
      <w:bookmarkStart w:id="102" w:name="_Toc196835219"/>
      <w:bookmarkStart w:id="103" w:name="_Toc231235456"/>
      <w:bookmarkEnd w:id="98"/>
      <w:r w:rsidRPr="004B6CD8">
        <w:rPr>
          <w:noProof/>
        </w:rPr>
        <w:t xml:space="preserve">Audit </w:t>
      </w:r>
      <w:bookmarkEnd w:id="99"/>
      <w:bookmarkEnd w:id="100"/>
      <w:bookmarkEnd w:id="101"/>
      <w:r w:rsidRPr="004B6CD8">
        <w:rPr>
          <w:noProof/>
        </w:rPr>
        <w:t xml:space="preserve">on </w:t>
      </w:r>
      <w:bookmarkEnd w:id="102"/>
      <w:r w:rsidR="007211FD" w:rsidRPr="004B6CD8">
        <w:rPr>
          <w:noProof/>
        </w:rPr>
        <w:t>IT security management in DG EAC</w:t>
      </w:r>
      <w:bookmarkEnd w:id="103"/>
    </w:p>
    <w:p w14:paraId="50E7007C" w14:textId="2F3C4BAC" w:rsidR="00401165" w:rsidRPr="00874637" w:rsidRDefault="00401165" w:rsidP="66263CC9">
      <w:pPr>
        <w:rPr>
          <w:rStyle w:val="Strong"/>
          <w:noProof/>
          <w:lang w:val="en-IE" w:eastAsia="zh-CN"/>
        </w:rPr>
      </w:pPr>
      <w:r w:rsidRPr="00874637">
        <w:rPr>
          <w:rStyle w:val="Strong"/>
          <w:noProof/>
          <w:lang w:val="en-IE" w:eastAsia="zh-CN"/>
        </w:rPr>
        <w:t xml:space="preserve">Follow-up performed in DG </w:t>
      </w:r>
      <w:r w:rsidR="007211FD" w:rsidRPr="00874637">
        <w:rPr>
          <w:rStyle w:val="Strong"/>
          <w:noProof/>
          <w:lang w:val="en-IE" w:eastAsia="zh-CN"/>
        </w:rPr>
        <w:t>EAC</w:t>
      </w:r>
    </w:p>
    <w:p w14:paraId="7058D20C" w14:textId="1EABE3E4" w:rsidR="00401165" w:rsidRPr="004B6CD8" w:rsidRDefault="00401165" w:rsidP="00401165">
      <w:pPr>
        <w:rPr>
          <w:rFonts w:eastAsia="Yu Mincho" w:cs="Times New Roman"/>
          <w:b/>
          <w:iCs/>
          <w:noProof/>
          <w:color w:val="003399" w:themeColor="text2"/>
          <w:kern w:val="0"/>
          <w:szCs w:val="20"/>
          <w:lang w:val="en-GB" w:eastAsia="zh-CN"/>
          <w14:ligatures w14:val="none"/>
        </w:rPr>
      </w:pPr>
      <w:r w:rsidRPr="004B6CD8">
        <w:rPr>
          <w:rFonts w:eastAsia="Calibri" w:cs="Tunga"/>
          <w:noProof/>
          <w:szCs w:val="20"/>
          <w:lang w:val="en-GB" w:eastAsia="zh-CN"/>
        </w:rPr>
        <w:t>Based on the results of the follow-up audit, the IAS concluded that the following recommendation w</w:t>
      </w:r>
      <w:r w:rsidR="007211FD" w:rsidRPr="004B6CD8">
        <w:rPr>
          <w:rFonts w:eastAsia="Calibri" w:cs="Tunga"/>
          <w:noProof/>
          <w:szCs w:val="20"/>
          <w:lang w:val="en-GB" w:eastAsia="zh-CN"/>
        </w:rPr>
        <w:t>as</w:t>
      </w:r>
      <w:r w:rsidRPr="004B6CD8">
        <w:rPr>
          <w:rFonts w:eastAsia="Calibri" w:cs="Tunga"/>
          <w:noProof/>
          <w:szCs w:val="20"/>
          <w:lang w:val="en-GB" w:eastAsia="zh-CN"/>
        </w:rPr>
        <w:t xml:space="preserve"> adequately and effectively implemented:</w:t>
      </w:r>
    </w:p>
    <w:p w14:paraId="16B7197A" w14:textId="0612ECAE" w:rsidR="00401165" w:rsidRPr="004B6CD8" w:rsidRDefault="00401165" w:rsidP="00401165">
      <w:pPr>
        <w:pStyle w:val="amprLISTtealbullets-L1"/>
        <w:rPr>
          <w:rFonts w:eastAsia="EC Square Sans Pro"/>
          <w:bCs/>
          <w:iCs/>
          <w:noProof/>
        </w:rPr>
      </w:pPr>
      <w:r w:rsidRPr="004B6CD8">
        <w:rPr>
          <w:rFonts w:eastAsia="EC Square Sans Pro"/>
          <w:bCs/>
          <w:iCs/>
          <w:noProof/>
        </w:rPr>
        <w:t xml:space="preserve">Recommendation No 1 </w:t>
      </w:r>
      <w:r w:rsidR="007211FD" w:rsidRPr="004B6CD8">
        <w:rPr>
          <w:rFonts w:eastAsia="EC Square Sans Pro"/>
          <w:bCs/>
          <w:iCs/>
          <w:noProof/>
        </w:rPr>
        <w:t>(very important): data classification</w:t>
      </w:r>
      <w:r w:rsidR="003E0FE7" w:rsidRPr="004B6CD8">
        <w:rPr>
          <w:rFonts w:eastAsia="EC Square Sans Pro"/>
          <w:bCs/>
          <w:iCs/>
          <w:noProof/>
        </w:rPr>
        <w:t>.</w:t>
      </w:r>
    </w:p>
    <w:p w14:paraId="7BC8C9AD" w14:textId="482336BB" w:rsidR="0057062A" w:rsidRPr="004B6CD8" w:rsidRDefault="0057062A" w:rsidP="00401165">
      <w:pPr>
        <w:pStyle w:val="amprH3Title2-Numbered-11"/>
        <w:rPr>
          <w:noProof/>
        </w:rPr>
      </w:pPr>
      <w:bookmarkStart w:id="104" w:name="_Toc196835220"/>
      <w:bookmarkStart w:id="105" w:name="_Toc231235457"/>
      <w:r w:rsidRPr="004B6CD8">
        <w:rPr>
          <w:noProof/>
        </w:rPr>
        <w:t xml:space="preserve">Audit on </w:t>
      </w:r>
      <w:bookmarkEnd w:id="104"/>
      <w:r w:rsidR="00401165" w:rsidRPr="004B6CD8">
        <w:rPr>
          <w:noProof/>
        </w:rPr>
        <w:t xml:space="preserve">the </w:t>
      </w:r>
      <w:r w:rsidR="00324CE5" w:rsidRPr="004B6CD8">
        <w:rPr>
          <w:noProof/>
        </w:rPr>
        <w:t>New nuclear decommissioning and waste management programme (NDWMP) in JRC</w:t>
      </w:r>
      <w:bookmarkEnd w:id="105"/>
    </w:p>
    <w:p w14:paraId="72A893A9" w14:textId="09F78EA3" w:rsidR="00401165" w:rsidRPr="00874637" w:rsidRDefault="00401165" w:rsidP="66263CC9">
      <w:pPr>
        <w:rPr>
          <w:rStyle w:val="Strong"/>
          <w:noProof/>
          <w:lang w:val="en-IE"/>
        </w:rPr>
      </w:pPr>
      <w:r w:rsidRPr="00874637">
        <w:rPr>
          <w:rStyle w:val="Strong"/>
          <w:noProof/>
          <w:lang w:val="en-IE"/>
        </w:rPr>
        <w:t xml:space="preserve">Follow-up performed in </w:t>
      </w:r>
      <w:r w:rsidR="00324CE5" w:rsidRPr="00874637">
        <w:rPr>
          <w:rStyle w:val="Strong"/>
          <w:noProof/>
          <w:lang w:val="en-IE"/>
        </w:rPr>
        <w:t>JRC</w:t>
      </w:r>
    </w:p>
    <w:p w14:paraId="4F305D91" w14:textId="019E8CBD" w:rsidR="00FA7C2D" w:rsidRPr="004B6CD8" w:rsidRDefault="00324CE5" w:rsidP="00FA7C2D">
      <w:pPr>
        <w:rPr>
          <w:rFonts w:eastAsia="Calibri" w:cs="Tunga"/>
          <w:bCs/>
          <w:iCs/>
          <w:noProof/>
          <w:lang w:val="en-GB" w:eastAsia="zh-CN"/>
        </w:rPr>
      </w:pPr>
      <w:r w:rsidRPr="004B6CD8">
        <w:rPr>
          <w:rFonts w:eastAsia="Calibri" w:cs="Tunga"/>
          <w:bCs/>
          <w:iCs/>
          <w:noProof/>
          <w:lang w:val="en-GB" w:eastAsia="zh-CN"/>
        </w:rPr>
        <w:t xml:space="preserve">Based on the results of the follow-up audit, the IAS concluded that the following recommendation was </w:t>
      </w:r>
      <w:r w:rsidR="009D2EBC" w:rsidRPr="004B6CD8">
        <w:rPr>
          <w:rFonts w:eastAsia="Calibri" w:cs="Tunga"/>
          <w:bCs/>
          <w:iCs/>
          <w:noProof/>
          <w:lang w:val="en-GB" w:eastAsia="zh-CN"/>
        </w:rPr>
        <w:t>p</w:t>
      </w:r>
      <w:r w:rsidRPr="004B6CD8">
        <w:rPr>
          <w:rFonts w:eastAsia="Calibri" w:cs="Tunga"/>
          <w:bCs/>
          <w:iCs/>
          <w:noProof/>
          <w:lang w:val="en-GB" w:eastAsia="zh-CN"/>
        </w:rPr>
        <w:t>artially implemented</w:t>
      </w:r>
      <w:r w:rsidR="00FA7C2D" w:rsidRPr="004B6CD8">
        <w:rPr>
          <w:rFonts w:eastAsia="Calibri" w:cs="Tunga"/>
          <w:bCs/>
          <w:iCs/>
          <w:noProof/>
          <w:lang w:val="en-GB" w:eastAsia="zh-CN"/>
        </w:rPr>
        <w:t>:</w:t>
      </w:r>
    </w:p>
    <w:p w14:paraId="74FB411E" w14:textId="4F0D11E6" w:rsidR="00324CE5" w:rsidRPr="004B6CD8" w:rsidRDefault="00324CE5" w:rsidP="00FA7C2D">
      <w:pPr>
        <w:pStyle w:val="amprLISTtealbullets-L1"/>
        <w:rPr>
          <w:rFonts w:eastAsia="Calibri"/>
          <w:bCs/>
          <w:iCs/>
          <w:noProof/>
          <w:lang w:eastAsia="zh-CN"/>
        </w:rPr>
      </w:pPr>
      <w:r w:rsidRPr="004B6CD8">
        <w:rPr>
          <w:rFonts w:eastAsia="EC Square Sans Pro"/>
          <w:noProof/>
        </w:rPr>
        <w:t>Recommendation</w:t>
      </w:r>
      <w:r w:rsidRPr="004B6CD8">
        <w:rPr>
          <w:rFonts w:eastAsia="Calibri"/>
          <w:bCs/>
          <w:iCs/>
          <w:noProof/>
          <w:lang w:eastAsia="zh-CN"/>
        </w:rPr>
        <w:t xml:space="preserve"> No 2 (</w:t>
      </w:r>
      <w:r w:rsidR="00FA7C2D" w:rsidRPr="004B6CD8">
        <w:rPr>
          <w:rFonts w:eastAsia="Calibri"/>
          <w:bCs/>
          <w:iCs/>
          <w:noProof/>
          <w:lang w:eastAsia="zh-CN"/>
        </w:rPr>
        <w:t xml:space="preserve">downgraded from </w:t>
      </w:r>
      <w:r w:rsidRPr="004B6CD8">
        <w:rPr>
          <w:rFonts w:eastAsia="Calibri"/>
          <w:bCs/>
          <w:iCs/>
          <w:noProof/>
          <w:lang w:eastAsia="zh-CN"/>
        </w:rPr>
        <w:t>very important</w:t>
      </w:r>
      <w:r w:rsidR="00FA7C2D" w:rsidRPr="004B6CD8">
        <w:rPr>
          <w:rFonts w:eastAsia="Calibri"/>
          <w:bCs/>
          <w:iCs/>
          <w:noProof/>
          <w:lang w:eastAsia="zh-CN"/>
        </w:rPr>
        <w:t xml:space="preserve"> to important</w:t>
      </w:r>
      <w:r w:rsidRPr="004B6CD8">
        <w:rPr>
          <w:rFonts w:eastAsia="Calibri"/>
          <w:bCs/>
          <w:iCs/>
          <w:noProof/>
          <w:lang w:eastAsia="zh-CN"/>
        </w:rPr>
        <w:t>): JRC internal organisation of NDWMP responsibilities</w:t>
      </w:r>
      <w:r w:rsidR="003E0FE7" w:rsidRPr="004B6CD8">
        <w:rPr>
          <w:rFonts w:eastAsia="Calibri"/>
          <w:bCs/>
          <w:iCs/>
          <w:noProof/>
          <w:lang w:eastAsia="zh-CN"/>
        </w:rPr>
        <w:t>.</w:t>
      </w:r>
    </w:p>
    <w:p w14:paraId="72E5062D" w14:textId="39B2DF21" w:rsidR="00401165" w:rsidRPr="004B6CD8" w:rsidRDefault="00401165" w:rsidP="00401165">
      <w:pPr>
        <w:rPr>
          <w:rFonts w:eastAsia="Calibri" w:cs="Tunga"/>
          <w:noProof/>
          <w:lang w:val="en-GB" w:eastAsia="zh-CN"/>
        </w:rPr>
      </w:pPr>
      <w:r w:rsidRPr="004B6CD8">
        <w:rPr>
          <w:rFonts w:eastAsia="Calibri" w:cs="Tunga"/>
          <w:bCs/>
          <w:iCs/>
          <w:noProof/>
          <w:lang w:val="en-GB" w:eastAsia="zh-CN"/>
        </w:rPr>
        <w:t xml:space="preserve">Based on the results of </w:t>
      </w:r>
      <w:r w:rsidR="00324CE5" w:rsidRPr="004B6CD8">
        <w:rPr>
          <w:rFonts w:eastAsia="Calibri" w:cs="Tunga"/>
          <w:bCs/>
          <w:iCs/>
          <w:noProof/>
          <w:lang w:val="en-GB" w:eastAsia="zh-CN"/>
        </w:rPr>
        <w:t xml:space="preserve">the </w:t>
      </w:r>
      <w:r w:rsidRPr="004B6CD8">
        <w:rPr>
          <w:rFonts w:eastAsia="Calibri" w:cs="Tunga"/>
          <w:bCs/>
          <w:iCs/>
          <w:noProof/>
          <w:lang w:val="en-GB" w:eastAsia="zh-CN"/>
        </w:rPr>
        <w:t>follow-up audit, the IAS concluded that the following</w:t>
      </w:r>
      <w:r w:rsidRPr="004B6CD8">
        <w:rPr>
          <w:rFonts w:eastAsia="Calibri" w:cs="Tunga"/>
          <w:noProof/>
          <w:lang w:val="en-GB" w:eastAsia="zh-CN"/>
        </w:rPr>
        <w:t xml:space="preserve"> recommendation was adequately and effectively implemented:</w:t>
      </w:r>
    </w:p>
    <w:p w14:paraId="0B3ED0D8" w14:textId="00015B02" w:rsidR="00401165" w:rsidRPr="004B6CD8" w:rsidRDefault="00401165" w:rsidP="003079ED">
      <w:pPr>
        <w:pStyle w:val="amprLISTtealbullets-L1"/>
        <w:rPr>
          <w:rFonts w:eastAsia="EC Square Sans Pro"/>
          <w:noProof/>
        </w:rPr>
      </w:pPr>
      <w:r w:rsidRPr="004B6CD8">
        <w:rPr>
          <w:rFonts w:eastAsia="EC Square Sans Pro"/>
          <w:noProof/>
        </w:rPr>
        <w:t>Recommendation</w:t>
      </w:r>
      <w:r w:rsidRPr="004B6CD8">
        <w:rPr>
          <w:rFonts w:eastAsia="EC Square Sans Pro"/>
          <w:iCs/>
          <w:noProof/>
        </w:rPr>
        <w:t xml:space="preserve"> No </w:t>
      </w:r>
      <w:r w:rsidR="00892B3B" w:rsidRPr="004B6CD8">
        <w:rPr>
          <w:rFonts w:eastAsia="EC Square Sans Pro"/>
          <w:iCs/>
          <w:noProof/>
        </w:rPr>
        <w:t>5</w:t>
      </w:r>
      <w:r w:rsidRPr="004B6CD8">
        <w:rPr>
          <w:rFonts w:eastAsia="EC Square Sans Pro"/>
          <w:iCs/>
          <w:noProof/>
        </w:rPr>
        <w:t xml:space="preserve"> (very important): </w:t>
      </w:r>
      <w:r w:rsidR="00892B3B" w:rsidRPr="004B6CD8">
        <w:rPr>
          <w:rFonts w:eastAsia="EC Square Sans Pro"/>
          <w:iCs/>
          <w:noProof/>
        </w:rPr>
        <w:t>NDWMP budget flexibility needs</w:t>
      </w:r>
      <w:r w:rsidR="003E0FE7" w:rsidRPr="004B6CD8">
        <w:rPr>
          <w:rFonts w:eastAsia="EC Square Sans Pro"/>
          <w:iCs/>
          <w:noProof/>
        </w:rPr>
        <w:t>.</w:t>
      </w:r>
    </w:p>
    <w:p w14:paraId="29CE82C2" w14:textId="195F5CEB" w:rsidR="0057062A" w:rsidRPr="004B6CD8" w:rsidRDefault="0057062A" w:rsidP="002849EE">
      <w:pPr>
        <w:pStyle w:val="amprH3Title2-Numbered-11"/>
        <w:rPr>
          <w:noProof/>
        </w:rPr>
      </w:pPr>
      <w:bookmarkStart w:id="106" w:name="_Toc196835221"/>
      <w:bookmarkStart w:id="107" w:name="_Toc231235458"/>
      <w:r w:rsidRPr="004B6CD8">
        <w:rPr>
          <w:noProof/>
        </w:rPr>
        <w:t xml:space="preserve">Audit on </w:t>
      </w:r>
      <w:bookmarkEnd w:id="106"/>
      <w:r w:rsidR="009D2EBC" w:rsidRPr="004B6CD8">
        <w:rPr>
          <w:noProof/>
        </w:rPr>
        <w:t>the protection of personal data in the Office for Administration and Payment of Individual Entitlements in PMO</w:t>
      </w:r>
      <w:bookmarkEnd w:id="107"/>
    </w:p>
    <w:p w14:paraId="1231D318" w14:textId="7A7C6FB8" w:rsidR="002849EE" w:rsidRPr="00874637" w:rsidRDefault="002849EE" w:rsidP="66263CC9">
      <w:pPr>
        <w:rPr>
          <w:rStyle w:val="Strong"/>
          <w:noProof/>
          <w:lang w:val="en-IE"/>
        </w:rPr>
      </w:pPr>
      <w:r w:rsidRPr="00874637">
        <w:rPr>
          <w:rStyle w:val="Strong"/>
          <w:noProof/>
          <w:lang w:val="en-IE"/>
        </w:rPr>
        <w:t xml:space="preserve">Follow-up performed in </w:t>
      </w:r>
      <w:r w:rsidR="009D2EBC" w:rsidRPr="00874637">
        <w:rPr>
          <w:rStyle w:val="Strong"/>
          <w:noProof/>
          <w:lang w:val="en-IE"/>
        </w:rPr>
        <w:t>PMO</w:t>
      </w:r>
    </w:p>
    <w:p w14:paraId="423EF703" w14:textId="12D6E992" w:rsidR="002849EE" w:rsidRPr="004B6CD8" w:rsidRDefault="002849EE" w:rsidP="002849EE">
      <w:pPr>
        <w:rPr>
          <w:rFonts w:eastAsia="Calibri" w:cs="Tunga"/>
          <w:bCs/>
          <w:iCs/>
          <w:noProof/>
          <w:lang w:val="en-GB" w:eastAsia="zh-CN"/>
        </w:rPr>
      </w:pPr>
      <w:r w:rsidRPr="004B6CD8">
        <w:rPr>
          <w:rFonts w:eastAsia="Calibri" w:cs="Tunga"/>
          <w:bCs/>
          <w:iCs/>
          <w:noProof/>
          <w:lang w:val="en-GB" w:eastAsia="zh-CN"/>
        </w:rPr>
        <w:t xml:space="preserve">Based on the results of </w:t>
      </w:r>
      <w:r w:rsidR="009D2EBC" w:rsidRPr="004B6CD8">
        <w:rPr>
          <w:rFonts w:eastAsia="Calibri" w:cs="Tunga"/>
          <w:bCs/>
          <w:iCs/>
          <w:noProof/>
          <w:lang w:val="en-GB" w:eastAsia="zh-CN"/>
        </w:rPr>
        <w:t xml:space="preserve">the </w:t>
      </w:r>
      <w:r w:rsidRPr="004B6CD8">
        <w:rPr>
          <w:rFonts w:eastAsia="Calibri" w:cs="Tunga"/>
          <w:bCs/>
          <w:iCs/>
          <w:noProof/>
          <w:lang w:val="en-GB" w:eastAsia="zh-CN"/>
        </w:rPr>
        <w:t xml:space="preserve">follow-up audit, the IAS concluded that the following recommendation </w:t>
      </w:r>
      <w:r w:rsidRPr="004B6CD8">
        <w:rPr>
          <w:rFonts w:eastAsia="Calibri" w:cs="Tunga"/>
          <w:noProof/>
          <w:lang w:val="en-GB" w:eastAsia="zh-CN"/>
        </w:rPr>
        <w:t>w</w:t>
      </w:r>
      <w:r w:rsidR="009D2EBC" w:rsidRPr="004B6CD8">
        <w:rPr>
          <w:rFonts w:eastAsia="Calibri" w:cs="Tunga"/>
          <w:noProof/>
          <w:lang w:val="en-GB" w:eastAsia="zh-CN"/>
        </w:rPr>
        <w:t xml:space="preserve">as </w:t>
      </w:r>
      <w:r w:rsidRPr="004B6CD8">
        <w:rPr>
          <w:rFonts w:eastAsia="Calibri" w:cs="Tunga"/>
          <w:bCs/>
          <w:iCs/>
          <w:noProof/>
          <w:lang w:val="en-GB" w:eastAsia="zh-CN"/>
        </w:rPr>
        <w:t>adequately and effectively implemented:</w:t>
      </w:r>
    </w:p>
    <w:p w14:paraId="2D8F9215" w14:textId="43748AE9" w:rsidR="002849EE" w:rsidRPr="004B6CD8" w:rsidRDefault="002849EE" w:rsidP="003079ED">
      <w:pPr>
        <w:pStyle w:val="amprLISTtealbullets-L1"/>
        <w:rPr>
          <w:rFonts w:eastAsia="EC Square Sans Pro"/>
          <w:noProof/>
        </w:rPr>
      </w:pPr>
      <w:r w:rsidRPr="004B6CD8">
        <w:rPr>
          <w:rFonts w:eastAsia="EC Square Sans Pro"/>
          <w:iCs/>
          <w:noProof/>
        </w:rPr>
        <w:t xml:space="preserve">Recommendation No </w:t>
      </w:r>
      <w:r w:rsidR="009D2EBC" w:rsidRPr="004B6CD8">
        <w:rPr>
          <w:rFonts w:eastAsia="EC Square Sans Pro"/>
          <w:iCs/>
          <w:noProof/>
        </w:rPr>
        <w:t>1</w:t>
      </w:r>
      <w:r w:rsidRPr="004B6CD8">
        <w:rPr>
          <w:rFonts w:eastAsia="EC Square Sans Pro"/>
          <w:iCs/>
          <w:noProof/>
        </w:rPr>
        <w:t xml:space="preserve"> (very important): </w:t>
      </w:r>
      <w:r w:rsidR="009D2EBC" w:rsidRPr="004B6CD8">
        <w:rPr>
          <w:rFonts w:eastAsia="EC Square Sans Pro"/>
          <w:iCs/>
          <w:noProof/>
        </w:rPr>
        <w:t>accountability, roles and responsibilities</w:t>
      </w:r>
      <w:r w:rsidR="003E0FE7" w:rsidRPr="004B6CD8">
        <w:rPr>
          <w:rFonts w:eastAsia="EC Square Sans Pro"/>
          <w:iCs/>
          <w:noProof/>
        </w:rPr>
        <w:t>.</w:t>
      </w:r>
    </w:p>
    <w:p w14:paraId="524BE549" w14:textId="2E4A540D" w:rsidR="0057062A" w:rsidRPr="004B6CD8" w:rsidRDefault="0057062A" w:rsidP="00566410">
      <w:pPr>
        <w:pStyle w:val="amprH3Title2-Numbered-11"/>
        <w:rPr>
          <w:noProof/>
        </w:rPr>
      </w:pPr>
      <w:bookmarkStart w:id="108" w:name="_Toc196835222"/>
      <w:bookmarkStart w:id="109" w:name="_Toc231235459"/>
      <w:r w:rsidRPr="004B6CD8">
        <w:rPr>
          <w:noProof/>
        </w:rPr>
        <w:t xml:space="preserve">Audit on </w:t>
      </w:r>
      <w:bookmarkEnd w:id="108"/>
      <w:r w:rsidR="009D2EBC" w:rsidRPr="004B6CD8">
        <w:rPr>
          <w:noProof/>
        </w:rPr>
        <w:t>measuring and reporting on the performance of technical support projects in DG REFORM</w:t>
      </w:r>
      <w:bookmarkEnd w:id="109"/>
    </w:p>
    <w:p w14:paraId="693C9992" w14:textId="21ABBD74" w:rsidR="00566410" w:rsidRPr="00874637" w:rsidRDefault="00566410" w:rsidP="66263CC9">
      <w:pPr>
        <w:jc w:val="both"/>
        <w:rPr>
          <w:rStyle w:val="Strong"/>
          <w:noProof/>
          <w:lang w:val="en-IE"/>
        </w:rPr>
      </w:pPr>
      <w:r w:rsidRPr="00874637">
        <w:rPr>
          <w:rStyle w:val="Strong"/>
          <w:noProof/>
          <w:lang w:val="en-IE"/>
        </w:rPr>
        <w:t xml:space="preserve">Follow-up performed in DG </w:t>
      </w:r>
      <w:r w:rsidR="009D2EBC" w:rsidRPr="00874637">
        <w:rPr>
          <w:rStyle w:val="Strong"/>
          <w:noProof/>
          <w:lang w:val="en-IE"/>
        </w:rPr>
        <w:t>REFORM</w:t>
      </w:r>
    </w:p>
    <w:p w14:paraId="77820155" w14:textId="3D7C6E79" w:rsidR="00566410" w:rsidRPr="004B6CD8" w:rsidRDefault="00566410" w:rsidP="00566410">
      <w:pPr>
        <w:jc w:val="both"/>
        <w:rPr>
          <w:rFonts w:eastAsia="Calibri"/>
          <w:iCs/>
          <w:noProof/>
          <w:lang w:val="en-GB"/>
        </w:rPr>
      </w:pPr>
      <w:r w:rsidRPr="004B6CD8">
        <w:rPr>
          <w:rFonts w:eastAsia="Calibri"/>
          <w:iCs/>
          <w:noProof/>
          <w:lang w:val="en-GB"/>
        </w:rPr>
        <w:t>Based on the results of the follow-up audit, the IAS concluded that the recommendation below wa</w:t>
      </w:r>
      <w:r w:rsidR="00554BBB" w:rsidRPr="004B6CD8">
        <w:rPr>
          <w:rFonts w:eastAsia="Calibri"/>
          <w:iCs/>
          <w:noProof/>
          <w:lang w:val="en-GB"/>
        </w:rPr>
        <w:t>s adequately and effectively implemented:</w:t>
      </w:r>
    </w:p>
    <w:p w14:paraId="517A0D6B" w14:textId="6901D2A0" w:rsidR="00566410" w:rsidRPr="004B6CD8" w:rsidRDefault="00566410" w:rsidP="00566410">
      <w:pPr>
        <w:pStyle w:val="amprLISTtealbullets-L1"/>
        <w:rPr>
          <w:rFonts w:eastAsia="Calibri"/>
          <w:iCs/>
          <w:noProof/>
        </w:rPr>
      </w:pPr>
      <w:r w:rsidRPr="004B6CD8">
        <w:rPr>
          <w:rFonts w:eastAsia="Calibri"/>
          <w:iCs/>
          <w:noProof/>
        </w:rPr>
        <w:t>Recommendation No 1</w:t>
      </w:r>
      <w:r w:rsidR="00554BBB" w:rsidRPr="004B6CD8">
        <w:rPr>
          <w:rFonts w:eastAsia="Calibri"/>
          <w:iCs/>
          <w:noProof/>
        </w:rPr>
        <w:t xml:space="preserve"> (</w:t>
      </w:r>
      <w:r w:rsidR="00554BBB" w:rsidRPr="004B6CD8">
        <w:rPr>
          <w:rFonts w:eastAsia="EC Square Sans Pro"/>
          <w:iCs/>
          <w:noProof/>
        </w:rPr>
        <w:t>very important)</w:t>
      </w:r>
      <w:r w:rsidR="00554BBB" w:rsidRPr="004B6CD8">
        <w:rPr>
          <w:rFonts w:eastAsia="Calibri"/>
          <w:iCs/>
          <w:noProof/>
        </w:rPr>
        <w:t>:</w:t>
      </w:r>
      <w:r w:rsidRPr="004B6CD8">
        <w:rPr>
          <w:rFonts w:eastAsia="Calibri"/>
          <w:iCs/>
          <w:noProof/>
        </w:rPr>
        <w:t xml:space="preserve"> </w:t>
      </w:r>
      <w:r w:rsidR="00554BBB" w:rsidRPr="004B6CD8">
        <w:rPr>
          <w:rFonts w:eastAsia="Calibri"/>
          <w:iCs/>
          <w:noProof/>
        </w:rPr>
        <w:t>performance measurement methodology</w:t>
      </w:r>
      <w:r w:rsidR="003E0FE7" w:rsidRPr="004B6CD8">
        <w:rPr>
          <w:rFonts w:eastAsia="Calibri"/>
          <w:iCs/>
          <w:noProof/>
        </w:rPr>
        <w:t>.</w:t>
      </w:r>
    </w:p>
    <w:p w14:paraId="71CCDEAB" w14:textId="1982FE1D" w:rsidR="0057062A" w:rsidRPr="004B6CD8" w:rsidRDefault="0057062A" w:rsidP="004F5FE5">
      <w:pPr>
        <w:pStyle w:val="amprH3Title2-Numbered-11"/>
        <w:rPr>
          <w:noProof/>
        </w:rPr>
      </w:pPr>
      <w:bookmarkStart w:id="110" w:name="_Toc196835223"/>
      <w:bookmarkStart w:id="111" w:name="_Toc231235460"/>
      <w:r w:rsidRPr="004B6CD8">
        <w:rPr>
          <w:noProof/>
        </w:rPr>
        <w:t xml:space="preserve">Audit on </w:t>
      </w:r>
      <w:bookmarkEnd w:id="110"/>
      <w:r w:rsidR="00FA7C2D" w:rsidRPr="004B6CD8">
        <w:rPr>
          <w:noProof/>
        </w:rPr>
        <w:t>p</w:t>
      </w:r>
      <w:r w:rsidR="00554BBB" w:rsidRPr="004B6CD8">
        <w:rPr>
          <w:noProof/>
        </w:rPr>
        <w:t>rotection of personal data under the responsibility of CINEA, EACEA, EISMEA, ERCEA, REA and the CIC</w:t>
      </w:r>
      <w:bookmarkEnd w:id="111"/>
    </w:p>
    <w:p w14:paraId="01400982" w14:textId="76874FCB" w:rsidR="004F5FE5" w:rsidRPr="00874637" w:rsidRDefault="004F5FE5" w:rsidP="66263CC9">
      <w:pPr>
        <w:jc w:val="both"/>
        <w:rPr>
          <w:rStyle w:val="Strong"/>
          <w:noProof/>
          <w:lang w:val="en-IE"/>
        </w:rPr>
      </w:pPr>
      <w:r w:rsidRPr="00874637">
        <w:rPr>
          <w:rStyle w:val="Strong"/>
          <w:noProof/>
          <w:lang w:val="en-IE"/>
        </w:rPr>
        <w:t>Follow-up performed in DG RTD (CIC)</w:t>
      </w:r>
    </w:p>
    <w:p w14:paraId="2187D62D" w14:textId="5132F25F" w:rsidR="00554BBB" w:rsidRPr="004B6CD8" w:rsidRDefault="004F5FE5" w:rsidP="00554BBB">
      <w:pPr>
        <w:jc w:val="both"/>
        <w:rPr>
          <w:noProof/>
          <w:lang w:val="en-GB"/>
        </w:rPr>
      </w:pPr>
      <w:r w:rsidRPr="004B6CD8">
        <w:rPr>
          <w:rFonts w:eastAsia="Calibri" w:cs="Tunga"/>
          <w:iCs/>
          <w:noProof/>
          <w:lang w:val="en-GB"/>
        </w:rPr>
        <w:t>Based on the results of the follow-up audit, the IAS concluded that the following recommendation w</w:t>
      </w:r>
      <w:r w:rsidR="00554BBB" w:rsidRPr="004B6CD8">
        <w:rPr>
          <w:rFonts w:eastAsia="Calibri" w:cs="Tunga"/>
          <w:iCs/>
          <w:noProof/>
          <w:lang w:val="en-GB"/>
        </w:rPr>
        <w:t>as</w:t>
      </w:r>
      <w:r w:rsidRPr="004B6CD8">
        <w:rPr>
          <w:rFonts w:eastAsia="Calibri" w:cs="Tunga"/>
          <w:iCs/>
          <w:noProof/>
          <w:lang w:val="en-GB"/>
        </w:rPr>
        <w:t xml:space="preserve"> </w:t>
      </w:r>
      <w:r w:rsidR="00554BBB" w:rsidRPr="004B6CD8">
        <w:rPr>
          <w:rFonts w:eastAsia="Calibri" w:cs="Tunga"/>
          <w:iCs/>
          <w:noProof/>
          <w:lang w:val="en-GB"/>
        </w:rPr>
        <w:t>partially implemented:</w:t>
      </w:r>
    </w:p>
    <w:p w14:paraId="5E674E3F" w14:textId="05FA36FE" w:rsidR="004F5FE5" w:rsidRPr="004B6CD8" w:rsidRDefault="004F5FE5" w:rsidP="00554BBB">
      <w:pPr>
        <w:pStyle w:val="amprLISTtealbullets-L1"/>
        <w:rPr>
          <w:rFonts w:eastAsia="Calibri"/>
          <w:iCs/>
          <w:noProof/>
        </w:rPr>
      </w:pPr>
      <w:r w:rsidRPr="004B6CD8">
        <w:rPr>
          <w:rFonts w:eastAsia="Calibri"/>
          <w:iCs/>
          <w:noProof/>
        </w:rPr>
        <w:t>Recommendation No 3 (</w:t>
      </w:r>
      <w:r w:rsidR="00554BBB" w:rsidRPr="004B6CD8">
        <w:rPr>
          <w:rFonts w:eastAsia="Calibri"/>
          <w:iCs/>
          <w:noProof/>
        </w:rPr>
        <w:t>downgraded from very important to important</w:t>
      </w:r>
      <w:r w:rsidRPr="004B6CD8">
        <w:rPr>
          <w:rFonts w:eastAsia="Calibri"/>
          <w:iCs/>
          <w:noProof/>
        </w:rPr>
        <w:t xml:space="preserve">): </w:t>
      </w:r>
      <w:r w:rsidR="00554BBB" w:rsidRPr="004B6CD8">
        <w:rPr>
          <w:rFonts w:eastAsia="Calibri"/>
          <w:iCs/>
          <w:noProof/>
        </w:rPr>
        <w:t>controllership of the Funding and Tenders Portal</w:t>
      </w:r>
      <w:r w:rsidR="003E0FE7" w:rsidRPr="004B6CD8">
        <w:rPr>
          <w:rFonts w:eastAsia="Calibri"/>
          <w:iCs/>
          <w:noProof/>
        </w:rPr>
        <w:t>.</w:t>
      </w:r>
    </w:p>
    <w:p w14:paraId="68C096FB" w14:textId="418ABA80" w:rsidR="0057062A" w:rsidRPr="004B6CD8" w:rsidRDefault="0057062A" w:rsidP="000B5C39">
      <w:pPr>
        <w:pStyle w:val="amprH3Title2-Numbered-11"/>
        <w:rPr>
          <w:noProof/>
        </w:rPr>
      </w:pPr>
      <w:bookmarkStart w:id="112" w:name="_Toc196835224"/>
      <w:bookmarkStart w:id="113" w:name="_Toc231235461"/>
      <w:r w:rsidRPr="004B6CD8">
        <w:rPr>
          <w:noProof/>
        </w:rPr>
        <w:t>Audit on</w:t>
      </w:r>
      <w:bookmarkEnd w:id="112"/>
      <w:r w:rsidR="005310A0" w:rsidRPr="004B6CD8">
        <w:rPr>
          <w:noProof/>
        </w:rPr>
        <w:t xml:space="preserve"> the preparedness for closing the 2014-2020 programming period of the European Structural and Investment Funds by DG EMPL and DG MARE and DG REGIO</w:t>
      </w:r>
      <w:bookmarkEnd w:id="113"/>
    </w:p>
    <w:p w14:paraId="25B0AD0F" w14:textId="181A6FE3" w:rsidR="00C43460" w:rsidRPr="00874637" w:rsidRDefault="00C43460" w:rsidP="66263CC9">
      <w:pPr>
        <w:jc w:val="both"/>
        <w:rPr>
          <w:rStyle w:val="Strong"/>
          <w:noProof/>
          <w:lang w:val="en-IE"/>
        </w:rPr>
      </w:pPr>
      <w:r w:rsidRPr="00874637">
        <w:rPr>
          <w:rStyle w:val="Strong"/>
          <w:noProof/>
          <w:lang w:val="en-IE"/>
        </w:rPr>
        <w:t xml:space="preserve">Follow-up performed in DG </w:t>
      </w:r>
      <w:r w:rsidR="005310A0" w:rsidRPr="00874637">
        <w:rPr>
          <w:rStyle w:val="Strong"/>
          <w:noProof/>
          <w:lang w:val="en-IE"/>
        </w:rPr>
        <w:t>EMPL</w:t>
      </w:r>
    </w:p>
    <w:p w14:paraId="1D657A81" w14:textId="332CAD8A" w:rsidR="00C43460" w:rsidRPr="004B6CD8" w:rsidRDefault="00C43460" w:rsidP="00C43460">
      <w:pPr>
        <w:jc w:val="both"/>
        <w:rPr>
          <w:rFonts w:eastAsia="Calibri"/>
          <w:iCs/>
          <w:noProof/>
          <w:lang w:val="en-GB"/>
        </w:rPr>
      </w:pPr>
      <w:r w:rsidRPr="004B6CD8">
        <w:rPr>
          <w:rFonts w:eastAsia="Calibri"/>
          <w:iCs/>
          <w:noProof/>
          <w:lang w:val="en-GB"/>
        </w:rPr>
        <w:t>Based on the results of the follow-up audit, the IAS concluded that the following recommendation w</w:t>
      </w:r>
      <w:r w:rsidR="005310A0" w:rsidRPr="004B6CD8">
        <w:rPr>
          <w:rFonts w:eastAsia="Calibri"/>
          <w:iCs/>
          <w:noProof/>
          <w:lang w:val="en-GB"/>
        </w:rPr>
        <w:t>as</w:t>
      </w:r>
      <w:r w:rsidRPr="004B6CD8">
        <w:rPr>
          <w:rFonts w:eastAsia="Calibri"/>
          <w:iCs/>
          <w:noProof/>
          <w:lang w:val="en-GB"/>
        </w:rPr>
        <w:t xml:space="preserve"> adequately and effectively implemented:</w:t>
      </w:r>
    </w:p>
    <w:p w14:paraId="45EB43F6" w14:textId="2BD10378" w:rsidR="005310A0" w:rsidRPr="004B6CD8" w:rsidRDefault="00C43460" w:rsidP="00C43460">
      <w:pPr>
        <w:pStyle w:val="amprLISTtealbullets-L1"/>
        <w:rPr>
          <w:rFonts w:eastAsia="Calibri"/>
          <w:noProof/>
        </w:rPr>
      </w:pPr>
      <w:r w:rsidRPr="004B6CD8">
        <w:rPr>
          <w:rFonts w:eastAsia="Calibri"/>
          <w:noProof/>
        </w:rPr>
        <w:t>Recommendation</w:t>
      </w:r>
      <w:r w:rsidRPr="004B6CD8">
        <w:rPr>
          <w:rFonts w:eastAsia="Calibri"/>
          <w:iCs/>
          <w:noProof/>
        </w:rPr>
        <w:t xml:space="preserve"> No </w:t>
      </w:r>
      <w:r w:rsidR="005310A0" w:rsidRPr="004B6CD8">
        <w:rPr>
          <w:rFonts w:eastAsia="Calibri"/>
          <w:iCs/>
          <w:noProof/>
        </w:rPr>
        <w:t>2</w:t>
      </w:r>
      <w:r w:rsidRPr="004B6CD8">
        <w:rPr>
          <w:rFonts w:eastAsia="Calibri"/>
          <w:iCs/>
          <w:noProof/>
        </w:rPr>
        <w:t xml:space="preserve"> (</w:t>
      </w:r>
      <w:r w:rsidR="005310A0" w:rsidRPr="004B6CD8">
        <w:rPr>
          <w:rFonts w:eastAsia="Calibri"/>
          <w:iCs/>
          <w:noProof/>
        </w:rPr>
        <w:t xml:space="preserve">very </w:t>
      </w:r>
      <w:r w:rsidRPr="004B6CD8">
        <w:rPr>
          <w:rFonts w:eastAsia="Calibri"/>
          <w:iCs/>
          <w:noProof/>
        </w:rPr>
        <w:t xml:space="preserve">important): </w:t>
      </w:r>
      <w:r w:rsidR="005310A0" w:rsidRPr="004B6CD8">
        <w:rPr>
          <w:rFonts w:eastAsia="Calibri"/>
          <w:iCs/>
          <w:noProof/>
        </w:rPr>
        <w:t>planning of the closure exercise</w:t>
      </w:r>
      <w:r w:rsidR="003E0FE7" w:rsidRPr="004B6CD8">
        <w:rPr>
          <w:rFonts w:eastAsia="Calibri"/>
          <w:iCs/>
          <w:noProof/>
        </w:rPr>
        <w:t>.</w:t>
      </w:r>
    </w:p>
    <w:p w14:paraId="0494D922" w14:textId="197772CB" w:rsidR="005310A0" w:rsidRPr="004B6CD8" w:rsidRDefault="005310A0" w:rsidP="005310A0">
      <w:pPr>
        <w:jc w:val="both"/>
        <w:rPr>
          <w:rFonts w:eastAsia="Calibri"/>
          <w:noProof/>
          <w:lang w:val="en-GB"/>
        </w:rPr>
      </w:pPr>
      <w:r w:rsidRPr="004B6CD8">
        <w:rPr>
          <w:rFonts w:eastAsia="Calibri"/>
          <w:iCs/>
          <w:noProof/>
          <w:lang w:val="en-GB"/>
        </w:rPr>
        <w:t>Based</w:t>
      </w:r>
      <w:r w:rsidRPr="004B6CD8">
        <w:rPr>
          <w:noProof/>
          <w:lang w:val="en-GB"/>
        </w:rPr>
        <w:t xml:space="preserve"> on </w:t>
      </w:r>
      <w:r w:rsidRPr="004B6CD8">
        <w:rPr>
          <w:rFonts w:eastAsia="Calibri"/>
          <w:noProof/>
          <w:lang w:val="en-GB"/>
        </w:rPr>
        <w:t>the results of the follow-up audit, the IAS concluded that the following recommendation was partially implemented:</w:t>
      </w:r>
    </w:p>
    <w:p w14:paraId="55AD3FD0" w14:textId="0C7ECB78" w:rsidR="005310A0" w:rsidRPr="004B6CD8" w:rsidRDefault="005310A0" w:rsidP="00C43460">
      <w:pPr>
        <w:pStyle w:val="amprLISTtealbullets-L1"/>
        <w:rPr>
          <w:rFonts w:eastAsia="Calibri"/>
          <w:noProof/>
        </w:rPr>
      </w:pPr>
      <w:r w:rsidRPr="004B6CD8">
        <w:rPr>
          <w:rFonts w:eastAsia="Calibri"/>
          <w:noProof/>
        </w:rPr>
        <w:t>Recommendation No 6 (downgraded from very important to important): financial settlement at closure of programmes</w:t>
      </w:r>
      <w:r w:rsidR="003E0FE7" w:rsidRPr="004B6CD8">
        <w:rPr>
          <w:rFonts w:eastAsia="Calibri"/>
          <w:noProof/>
        </w:rPr>
        <w:t>.</w:t>
      </w:r>
    </w:p>
    <w:p w14:paraId="0C64DF64" w14:textId="7294CFEA" w:rsidR="005310A0" w:rsidRPr="00874637" w:rsidRDefault="005310A0" w:rsidP="66263CC9">
      <w:pPr>
        <w:jc w:val="both"/>
        <w:rPr>
          <w:rStyle w:val="Strong"/>
          <w:noProof/>
          <w:lang w:val="en-IE"/>
        </w:rPr>
      </w:pPr>
      <w:r w:rsidRPr="00874637">
        <w:rPr>
          <w:rStyle w:val="Strong"/>
          <w:noProof/>
          <w:lang w:val="en-IE"/>
        </w:rPr>
        <w:t>Follow-up performed in DG MARE</w:t>
      </w:r>
    </w:p>
    <w:p w14:paraId="161EAE13" w14:textId="7393CC62" w:rsidR="005310A0" w:rsidRPr="004B6CD8" w:rsidRDefault="005310A0" w:rsidP="005310A0">
      <w:pPr>
        <w:jc w:val="both"/>
        <w:rPr>
          <w:rFonts w:eastAsia="Calibri"/>
          <w:iCs/>
          <w:noProof/>
          <w:lang w:val="en-GB"/>
        </w:rPr>
      </w:pPr>
      <w:r w:rsidRPr="004B6CD8">
        <w:rPr>
          <w:rFonts w:eastAsia="Calibri"/>
          <w:iCs/>
          <w:noProof/>
          <w:lang w:val="en-GB"/>
        </w:rPr>
        <w:t>Based on the results of the follow-up audit, the IAS concluded that the following recommendation</w:t>
      </w:r>
      <w:r w:rsidR="008D227E" w:rsidRPr="004B6CD8">
        <w:rPr>
          <w:rFonts w:eastAsia="Calibri"/>
          <w:iCs/>
          <w:noProof/>
          <w:lang w:val="en-GB"/>
        </w:rPr>
        <w:t>s</w:t>
      </w:r>
      <w:r w:rsidRPr="004B6CD8">
        <w:rPr>
          <w:rFonts w:eastAsia="Calibri"/>
          <w:iCs/>
          <w:noProof/>
          <w:lang w:val="en-GB"/>
        </w:rPr>
        <w:t xml:space="preserve"> w</w:t>
      </w:r>
      <w:r w:rsidR="008D227E" w:rsidRPr="004B6CD8">
        <w:rPr>
          <w:rFonts w:eastAsia="Calibri"/>
          <w:iCs/>
          <w:noProof/>
          <w:lang w:val="en-GB"/>
        </w:rPr>
        <w:t>ere adequately and effectively implemented:</w:t>
      </w:r>
    </w:p>
    <w:p w14:paraId="7390BBB1" w14:textId="775068E5" w:rsidR="008D227E" w:rsidRPr="004B6CD8" w:rsidRDefault="008D227E" w:rsidP="008D227E">
      <w:pPr>
        <w:pStyle w:val="amprLISTtealbullets-L1"/>
        <w:rPr>
          <w:rFonts w:eastAsia="Calibri"/>
          <w:iCs/>
          <w:noProof/>
        </w:rPr>
      </w:pPr>
      <w:r w:rsidRPr="004B6CD8">
        <w:rPr>
          <w:rFonts w:eastAsia="Calibri"/>
          <w:noProof/>
        </w:rPr>
        <w:t>Recommendation No 3 (very important): planning of the closure exercise</w:t>
      </w:r>
      <w:r w:rsidR="003E0FE7" w:rsidRPr="004B6CD8">
        <w:rPr>
          <w:rFonts w:eastAsia="Calibri"/>
          <w:noProof/>
        </w:rPr>
        <w:t>.</w:t>
      </w:r>
    </w:p>
    <w:p w14:paraId="2193674F" w14:textId="62D52322" w:rsidR="008D227E" w:rsidRPr="004B6CD8" w:rsidRDefault="008D227E" w:rsidP="005310A0">
      <w:pPr>
        <w:pStyle w:val="amprLISTtealbullets-L1"/>
        <w:rPr>
          <w:rStyle w:val="Strong"/>
          <w:rFonts w:eastAsia="Calibri" w:cs="Tunga"/>
          <w:b w:val="0"/>
          <w:noProof/>
          <w:color w:val="auto"/>
        </w:rPr>
      </w:pPr>
      <w:r w:rsidRPr="004B6CD8">
        <w:rPr>
          <w:rFonts w:eastAsia="Calibri"/>
          <w:iCs/>
          <w:noProof/>
        </w:rPr>
        <w:t>Recommendation No 7 (very important): financial settlement at closure of programmes</w:t>
      </w:r>
      <w:r w:rsidR="003E0FE7" w:rsidRPr="004B6CD8">
        <w:rPr>
          <w:rFonts w:eastAsia="Calibri"/>
          <w:iCs/>
          <w:noProof/>
        </w:rPr>
        <w:t>.</w:t>
      </w:r>
    </w:p>
    <w:p w14:paraId="7148EFBE" w14:textId="4AAF3EBA" w:rsidR="005310A0" w:rsidRPr="00874637" w:rsidRDefault="005310A0" w:rsidP="66263CC9">
      <w:pPr>
        <w:jc w:val="both"/>
        <w:rPr>
          <w:rStyle w:val="Strong"/>
          <w:noProof/>
          <w:lang w:val="en-IE"/>
        </w:rPr>
      </w:pPr>
      <w:r w:rsidRPr="00874637">
        <w:rPr>
          <w:rStyle w:val="Strong"/>
          <w:noProof/>
          <w:lang w:val="en-IE"/>
        </w:rPr>
        <w:t>Follow-up performed in DG REGIO</w:t>
      </w:r>
    </w:p>
    <w:p w14:paraId="3190B390" w14:textId="767E2B2B" w:rsidR="005310A0" w:rsidRPr="004B6CD8" w:rsidRDefault="008D227E" w:rsidP="005310A0">
      <w:pPr>
        <w:jc w:val="both"/>
        <w:rPr>
          <w:rFonts w:eastAsia="Calibri"/>
          <w:iCs/>
          <w:noProof/>
          <w:lang w:val="en-GB"/>
        </w:rPr>
      </w:pPr>
      <w:r w:rsidRPr="004B6CD8">
        <w:rPr>
          <w:rFonts w:eastAsia="Calibri"/>
          <w:iCs/>
          <w:noProof/>
          <w:lang w:val="en-GB"/>
        </w:rPr>
        <w:t>Based on the results of the follow-up audit, the IAS concluded that the following recommendation was adequately and effectively implemented:</w:t>
      </w:r>
    </w:p>
    <w:p w14:paraId="15DFF6DA" w14:textId="25B1B8A1" w:rsidR="008D227E" w:rsidRPr="004B6CD8" w:rsidRDefault="008D227E" w:rsidP="008D227E">
      <w:pPr>
        <w:pStyle w:val="amprLISTtealbullets-L1"/>
        <w:rPr>
          <w:rFonts w:eastAsia="Calibri"/>
          <w:iCs/>
          <w:noProof/>
        </w:rPr>
      </w:pPr>
      <w:r w:rsidRPr="004B6CD8">
        <w:rPr>
          <w:rFonts w:eastAsia="Calibri"/>
          <w:noProof/>
        </w:rPr>
        <w:t>Recommendation</w:t>
      </w:r>
      <w:r w:rsidRPr="004B6CD8">
        <w:rPr>
          <w:rFonts w:eastAsia="Calibri"/>
          <w:iCs/>
          <w:noProof/>
        </w:rPr>
        <w:t xml:space="preserve"> No 1 (very important): planning of the closure exercise</w:t>
      </w:r>
      <w:r w:rsidR="003E0FE7" w:rsidRPr="004B6CD8">
        <w:rPr>
          <w:rFonts w:eastAsia="Calibri"/>
          <w:iCs/>
          <w:noProof/>
        </w:rPr>
        <w:t>.</w:t>
      </w:r>
    </w:p>
    <w:p w14:paraId="5FCC76F9" w14:textId="5C86C1AB" w:rsidR="008D227E" w:rsidRPr="004B6CD8" w:rsidRDefault="008D227E" w:rsidP="008D227E">
      <w:pPr>
        <w:jc w:val="both"/>
        <w:rPr>
          <w:rFonts w:eastAsia="Calibri"/>
          <w:iCs/>
          <w:noProof/>
          <w:lang w:val="en-GB"/>
        </w:rPr>
      </w:pPr>
      <w:r w:rsidRPr="004B6CD8">
        <w:rPr>
          <w:rFonts w:eastAsia="Calibri"/>
          <w:iCs/>
          <w:noProof/>
          <w:lang w:val="en-GB"/>
        </w:rPr>
        <w:t xml:space="preserve">Based on the results of the follow-up audit, the IAS concluded that the following recommendation was partially </w:t>
      </w:r>
      <w:r w:rsidRPr="004B6CD8">
        <w:rPr>
          <w:rFonts w:eastAsia="Calibri"/>
          <w:noProof/>
          <w:lang w:val="en-GB"/>
        </w:rPr>
        <w:t>implemented</w:t>
      </w:r>
      <w:r w:rsidRPr="004B6CD8">
        <w:rPr>
          <w:rFonts w:eastAsia="Calibri"/>
          <w:iCs/>
          <w:noProof/>
          <w:lang w:val="en-GB"/>
        </w:rPr>
        <w:t>:</w:t>
      </w:r>
    </w:p>
    <w:p w14:paraId="24ACAC57" w14:textId="2E04B3D5" w:rsidR="008D227E" w:rsidRPr="004B6CD8" w:rsidRDefault="008D227E" w:rsidP="003079ED">
      <w:pPr>
        <w:pStyle w:val="amprLISTtealbullets-L1"/>
        <w:rPr>
          <w:rStyle w:val="Strong"/>
          <w:b w:val="0"/>
          <w:noProof/>
          <w:color w:val="auto"/>
        </w:rPr>
      </w:pPr>
      <w:r w:rsidRPr="004B6CD8">
        <w:rPr>
          <w:rFonts w:eastAsia="Calibri"/>
          <w:noProof/>
        </w:rPr>
        <w:t>Recommendation</w:t>
      </w:r>
      <w:r w:rsidRPr="004B6CD8">
        <w:rPr>
          <w:rFonts w:eastAsia="Calibri"/>
          <w:iCs/>
          <w:noProof/>
        </w:rPr>
        <w:t xml:space="preserve"> No 5 </w:t>
      </w:r>
      <w:r w:rsidRPr="004B6CD8">
        <w:rPr>
          <w:rFonts w:eastAsia="Calibri"/>
          <w:noProof/>
        </w:rPr>
        <w:t>(downgraded from very important to important): financial settlement at closure of programmes</w:t>
      </w:r>
      <w:r w:rsidR="003E0FE7" w:rsidRPr="004B6CD8">
        <w:rPr>
          <w:rFonts w:eastAsia="Calibri"/>
          <w:noProof/>
        </w:rPr>
        <w:t>.</w:t>
      </w:r>
    </w:p>
    <w:p w14:paraId="5CA869E8" w14:textId="0EAFE35C" w:rsidR="0057062A" w:rsidRPr="004B6CD8" w:rsidRDefault="0057062A" w:rsidP="00A629DC">
      <w:pPr>
        <w:pStyle w:val="amprH3Title2-Numbered-11"/>
        <w:rPr>
          <w:noProof/>
        </w:rPr>
      </w:pPr>
      <w:bookmarkStart w:id="114" w:name="_Toc196835225"/>
      <w:bookmarkStart w:id="115" w:name="_Toc231235462"/>
      <w:r w:rsidRPr="004B6CD8">
        <w:rPr>
          <w:noProof/>
        </w:rPr>
        <w:t xml:space="preserve">Audit on </w:t>
      </w:r>
      <w:bookmarkEnd w:id="114"/>
      <w:r w:rsidR="00A629DC" w:rsidRPr="004B6CD8">
        <w:rPr>
          <w:noProof/>
        </w:rPr>
        <w:t xml:space="preserve">the </w:t>
      </w:r>
      <w:r w:rsidR="00B961DB" w:rsidRPr="004B6CD8">
        <w:rPr>
          <w:noProof/>
        </w:rPr>
        <w:t>Joint Audit Directorate for Cohesion (DAC) in DG EMPL and DG REGIO</w:t>
      </w:r>
      <w:bookmarkEnd w:id="115"/>
    </w:p>
    <w:p w14:paraId="3733AFDF" w14:textId="0CB209A1" w:rsidR="00A629DC" w:rsidRPr="00874637" w:rsidRDefault="00A629DC" w:rsidP="66263CC9">
      <w:pPr>
        <w:jc w:val="both"/>
        <w:rPr>
          <w:rStyle w:val="Strong"/>
          <w:noProof/>
          <w:lang w:val="en-IE"/>
        </w:rPr>
      </w:pPr>
      <w:r w:rsidRPr="00874637">
        <w:rPr>
          <w:rStyle w:val="Strong"/>
          <w:noProof/>
          <w:lang w:val="en-IE"/>
        </w:rPr>
        <w:t xml:space="preserve">Follow-up performed in DG </w:t>
      </w:r>
      <w:r w:rsidR="00B961DB" w:rsidRPr="00874637">
        <w:rPr>
          <w:rStyle w:val="Strong"/>
          <w:noProof/>
          <w:lang w:val="en-IE"/>
        </w:rPr>
        <w:t>EMPL</w:t>
      </w:r>
    </w:p>
    <w:p w14:paraId="54EEC1AC" w14:textId="77777777" w:rsidR="00A629DC" w:rsidRPr="004B6CD8" w:rsidRDefault="00A629DC" w:rsidP="00A629DC">
      <w:pPr>
        <w:jc w:val="both"/>
        <w:rPr>
          <w:rFonts w:eastAsia="Calibri" w:cs="Tunga"/>
          <w:iCs/>
          <w:noProof/>
          <w:lang w:val="en-GB" w:eastAsia="zh-CN"/>
        </w:rPr>
      </w:pPr>
      <w:r w:rsidRPr="004B6CD8">
        <w:rPr>
          <w:rFonts w:eastAsia="Calibri" w:cs="Tunga"/>
          <w:iCs/>
          <w:noProof/>
          <w:lang w:val="en-GB" w:eastAsia="zh-CN"/>
        </w:rPr>
        <w:t>Based on the results of the follow-up audit, the IAS concluded that the following recommendation was adequately and effectively implemented:</w:t>
      </w:r>
    </w:p>
    <w:p w14:paraId="6E7DD702" w14:textId="1B9FFBE5" w:rsidR="00A629DC" w:rsidRPr="004B6CD8" w:rsidRDefault="00A629DC" w:rsidP="00A629DC">
      <w:pPr>
        <w:pStyle w:val="amprLISTtealbullets-L1"/>
        <w:rPr>
          <w:rFonts w:eastAsia="Calibri"/>
          <w:iCs/>
          <w:noProof/>
        </w:rPr>
      </w:pPr>
      <w:r w:rsidRPr="004B6CD8">
        <w:rPr>
          <w:rFonts w:eastAsia="Calibri"/>
          <w:iCs/>
          <w:noProof/>
        </w:rPr>
        <w:t xml:space="preserve">Recommendation No </w:t>
      </w:r>
      <w:r w:rsidR="00B961DB" w:rsidRPr="004B6CD8">
        <w:rPr>
          <w:rFonts w:eastAsia="Calibri"/>
          <w:iCs/>
          <w:noProof/>
        </w:rPr>
        <w:t>5</w:t>
      </w:r>
      <w:r w:rsidRPr="004B6CD8">
        <w:rPr>
          <w:rFonts w:eastAsia="Calibri"/>
          <w:iCs/>
          <w:noProof/>
        </w:rPr>
        <w:t xml:space="preserve"> (very important): </w:t>
      </w:r>
      <w:r w:rsidR="00B961DB" w:rsidRPr="004B6CD8">
        <w:rPr>
          <w:rFonts w:eastAsia="Calibri"/>
          <w:iCs/>
          <w:noProof/>
        </w:rPr>
        <w:t xml:space="preserve">IT project management for </w:t>
      </w:r>
      <w:r w:rsidR="003E0FE7" w:rsidRPr="004B6CD8">
        <w:rPr>
          <w:rFonts w:eastAsia="Calibri"/>
          <w:iCs/>
          <w:noProof/>
        </w:rPr>
        <w:t xml:space="preserve">the Management of (all) Audit Processes, </w:t>
      </w:r>
      <w:r w:rsidR="003C1519" w:rsidRPr="004B6CD8">
        <w:rPr>
          <w:rFonts w:eastAsia="Calibri"/>
          <w:iCs/>
          <w:noProof/>
        </w:rPr>
        <w:t>Activities</w:t>
      </w:r>
      <w:r w:rsidR="003E0FE7" w:rsidRPr="004B6CD8">
        <w:rPr>
          <w:rFonts w:eastAsia="Calibri"/>
          <w:iCs/>
          <w:noProof/>
        </w:rPr>
        <w:t xml:space="preserve"> and Resources system (</w:t>
      </w:r>
      <w:r w:rsidR="00B961DB" w:rsidRPr="004B6CD8">
        <w:rPr>
          <w:rFonts w:eastAsia="Calibri"/>
          <w:iCs/>
          <w:noProof/>
        </w:rPr>
        <w:t>MAPAR</w:t>
      </w:r>
      <w:r w:rsidR="003E0FE7" w:rsidRPr="004B6CD8">
        <w:rPr>
          <w:rFonts w:eastAsia="Calibri"/>
          <w:iCs/>
          <w:noProof/>
        </w:rPr>
        <w:t>)</w:t>
      </w:r>
      <w:r w:rsidR="00B961DB" w:rsidRPr="004B6CD8">
        <w:rPr>
          <w:rFonts w:eastAsia="Calibri"/>
          <w:iCs/>
          <w:noProof/>
        </w:rPr>
        <w:t xml:space="preserve"> and </w:t>
      </w:r>
      <w:r w:rsidR="00777666" w:rsidRPr="004B6CD8">
        <w:rPr>
          <w:rFonts w:eastAsia="Calibri"/>
          <w:iCs/>
          <w:noProof/>
        </w:rPr>
        <w:t xml:space="preserve">the </w:t>
      </w:r>
      <w:r w:rsidR="00E01637" w:rsidRPr="004B6CD8">
        <w:rPr>
          <w:rFonts w:eastAsia="Calibri"/>
          <w:iCs/>
          <w:noProof/>
        </w:rPr>
        <w:t xml:space="preserve">Management of (all) Audit Processes, </w:t>
      </w:r>
      <w:r w:rsidR="003C1519" w:rsidRPr="004B6CD8">
        <w:rPr>
          <w:rFonts w:eastAsia="Calibri"/>
          <w:iCs/>
          <w:noProof/>
        </w:rPr>
        <w:t>Activities</w:t>
      </w:r>
      <w:r w:rsidR="00E01637" w:rsidRPr="004B6CD8">
        <w:rPr>
          <w:rFonts w:eastAsia="Calibri"/>
          <w:iCs/>
          <w:noProof/>
        </w:rPr>
        <w:t xml:space="preserve"> and Resources Compass Corporate</w:t>
      </w:r>
      <w:r w:rsidR="00777666" w:rsidRPr="004B6CD8">
        <w:rPr>
          <w:rFonts w:eastAsia="Calibri"/>
          <w:iCs/>
          <w:noProof/>
        </w:rPr>
        <w:t xml:space="preserve"> system</w:t>
      </w:r>
      <w:r w:rsidR="00E01637" w:rsidRPr="004B6CD8">
        <w:rPr>
          <w:rFonts w:eastAsia="Calibri"/>
          <w:iCs/>
          <w:noProof/>
        </w:rPr>
        <w:t xml:space="preserve"> (</w:t>
      </w:r>
      <w:r w:rsidR="00B961DB" w:rsidRPr="004B6CD8">
        <w:rPr>
          <w:rFonts w:eastAsia="Calibri"/>
          <w:iCs/>
          <w:noProof/>
        </w:rPr>
        <w:t>MAPAR CC</w:t>
      </w:r>
      <w:r w:rsidR="00E01637" w:rsidRPr="004B6CD8">
        <w:rPr>
          <w:rFonts w:eastAsia="Calibri"/>
          <w:iCs/>
          <w:noProof/>
        </w:rPr>
        <w:t>)</w:t>
      </w:r>
      <w:r w:rsidR="003E0FE7" w:rsidRPr="004B6CD8">
        <w:rPr>
          <w:rFonts w:eastAsia="Calibri"/>
          <w:iCs/>
          <w:noProof/>
        </w:rPr>
        <w:t>.</w:t>
      </w:r>
    </w:p>
    <w:p w14:paraId="610B85D8" w14:textId="18B1F07C" w:rsidR="0057062A" w:rsidRPr="004B6CD8" w:rsidRDefault="0057062A" w:rsidP="00A629DC">
      <w:pPr>
        <w:pStyle w:val="amprH3Title2-Numbered-11"/>
        <w:rPr>
          <w:noProof/>
        </w:rPr>
      </w:pPr>
      <w:bookmarkStart w:id="116" w:name="_Toc196835226"/>
      <w:bookmarkStart w:id="117" w:name="_Toc231235463"/>
      <w:r w:rsidRPr="004B6CD8">
        <w:rPr>
          <w:noProof/>
        </w:rPr>
        <w:t xml:space="preserve">Audit on </w:t>
      </w:r>
      <w:bookmarkEnd w:id="116"/>
      <w:r w:rsidR="006546F9" w:rsidRPr="004B6CD8">
        <w:rPr>
          <w:noProof/>
        </w:rPr>
        <w:t>Physical security of persons and assets in the Commission, HR / DIGIT / COMM / OIB / OIL</w:t>
      </w:r>
      <w:bookmarkEnd w:id="117"/>
    </w:p>
    <w:p w14:paraId="0515A45D" w14:textId="61E68B2C" w:rsidR="00A629DC" w:rsidRPr="00874637" w:rsidRDefault="00A629DC" w:rsidP="66263CC9">
      <w:pPr>
        <w:jc w:val="both"/>
        <w:rPr>
          <w:rStyle w:val="Strong"/>
          <w:noProof/>
          <w:lang w:val="en-IE"/>
        </w:rPr>
      </w:pPr>
      <w:bookmarkStart w:id="118" w:name="_Toc131535778"/>
      <w:bookmarkStart w:id="119" w:name="_Toc134794030"/>
      <w:bookmarkStart w:id="120" w:name="_Toc134804303"/>
      <w:r w:rsidRPr="00874637">
        <w:rPr>
          <w:rStyle w:val="Strong"/>
          <w:noProof/>
          <w:lang w:val="en-IE"/>
        </w:rPr>
        <w:t xml:space="preserve">Follow-up performed in DG </w:t>
      </w:r>
      <w:r w:rsidR="006546F9" w:rsidRPr="00874637">
        <w:rPr>
          <w:rStyle w:val="Strong"/>
          <w:noProof/>
          <w:lang w:val="en-IE"/>
        </w:rPr>
        <w:t>COMM</w:t>
      </w:r>
    </w:p>
    <w:p w14:paraId="2A4F31DE" w14:textId="1C7F167F" w:rsidR="00A629DC" w:rsidRPr="004B6CD8" w:rsidRDefault="00A629DC" w:rsidP="00A629DC">
      <w:pPr>
        <w:jc w:val="both"/>
        <w:rPr>
          <w:rFonts w:eastAsia="Calibri" w:cs="Times New Roman"/>
          <w:noProof/>
          <w:kern w:val="0"/>
          <w:szCs w:val="20"/>
          <w:lang w:val="en-GB"/>
          <w14:ligatures w14:val="none"/>
        </w:rPr>
      </w:pPr>
      <w:r w:rsidRPr="004B6CD8">
        <w:rPr>
          <w:rFonts w:eastAsia="Calibri" w:cs="Times New Roman"/>
          <w:noProof/>
          <w:kern w:val="0"/>
          <w:szCs w:val="20"/>
          <w:lang w:val="en-GB"/>
          <w14:ligatures w14:val="none"/>
        </w:rPr>
        <w:t>Based on the results of the follow-up audit, the IAS concluded that the following recommendation was adequately and effectively implemented:</w:t>
      </w:r>
    </w:p>
    <w:p w14:paraId="2FEC62BA" w14:textId="5B662B42" w:rsidR="006546F9" w:rsidRPr="004B6CD8" w:rsidRDefault="00A629DC" w:rsidP="006546F9">
      <w:pPr>
        <w:pStyle w:val="amprLISTtealbullets-L1"/>
        <w:rPr>
          <w:rFonts w:eastAsia="Calibri"/>
          <w:iCs/>
          <w:noProof/>
        </w:rPr>
      </w:pPr>
      <w:r w:rsidRPr="004B6CD8">
        <w:rPr>
          <w:rFonts w:eastAsia="Calibri"/>
          <w:iCs/>
          <w:noProof/>
        </w:rPr>
        <w:t xml:space="preserve">Recommendation No </w:t>
      </w:r>
      <w:r w:rsidR="006546F9" w:rsidRPr="004B6CD8">
        <w:rPr>
          <w:rFonts w:eastAsia="Calibri"/>
          <w:iCs/>
          <w:noProof/>
        </w:rPr>
        <w:t>4</w:t>
      </w:r>
      <w:r w:rsidRPr="004B6CD8">
        <w:rPr>
          <w:rFonts w:eastAsia="Calibri"/>
          <w:iCs/>
          <w:noProof/>
        </w:rPr>
        <w:t xml:space="preserve"> (important): </w:t>
      </w:r>
      <w:r w:rsidR="006546F9" w:rsidRPr="004B6CD8">
        <w:rPr>
          <w:rFonts w:eastAsia="Calibri"/>
          <w:iCs/>
          <w:noProof/>
        </w:rPr>
        <w:t>risk management framework for physical security at the Commission</w:t>
      </w:r>
      <w:r w:rsidR="00664EAE" w:rsidRPr="004B6CD8">
        <w:rPr>
          <w:rFonts w:eastAsia="Calibri"/>
          <w:iCs/>
          <w:noProof/>
        </w:rPr>
        <w:t>.</w:t>
      </w:r>
    </w:p>
    <w:p w14:paraId="3B38E053" w14:textId="1A945669" w:rsidR="00A629DC" w:rsidRPr="004B6CD8" w:rsidRDefault="00A629DC" w:rsidP="003079ED">
      <w:pPr>
        <w:pStyle w:val="amprLISTtealbullets-L1"/>
        <w:numPr>
          <w:ilvl w:val="0"/>
          <w:numId w:val="0"/>
        </w:numPr>
        <w:ind w:left="786" w:hanging="360"/>
        <w:rPr>
          <w:rFonts w:eastAsia="Calibri"/>
          <w:iCs/>
          <w:noProof/>
        </w:rPr>
      </w:pPr>
    </w:p>
    <w:p w14:paraId="0409081A" w14:textId="42C2F0EA" w:rsidR="00DE01E1" w:rsidRPr="004B6CD8" w:rsidRDefault="0057062A" w:rsidP="00DE01E1">
      <w:pPr>
        <w:pStyle w:val="amprH3Title2-Numbered-11"/>
        <w:rPr>
          <w:noProof/>
        </w:rPr>
      </w:pPr>
      <w:bookmarkStart w:id="121" w:name="_Toc196835227"/>
      <w:bookmarkStart w:id="122" w:name="_Toc231235464"/>
      <w:bookmarkEnd w:id="118"/>
      <w:bookmarkEnd w:id="119"/>
      <w:bookmarkEnd w:id="120"/>
      <w:r w:rsidRPr="004B6CD8">
        <w:rPr>
          <w:noProof/>
        </w:rPr>
        <w:t xml:space="preserve">Audit on </w:t>
      </w:r>
      <w:bookmarkEnd w:id="121"/>
      <w:r w:rsidR="00DE01E1" w:rsidRPr="004B6CD8">
        <w:rPr>
          <w:noProof/>
        </w:rPr>
        <w:t xml:space="preserve">the </w:t>
      </w:r>
      <w:r w:rsidR="003464EC" w:rsidRPr="004B6CD8">
        <w:rPr>
          <w:noProof/>
        </w:rPr>
        <w:t>assessment of HR needs in the Commission at corporate level in DG BUDG, DG HR and SG</w:t>
      </w:r>
      <w:bookmarkEnd w:id="122"/>
    </w:p>
    <w:p w14:paraId="6AF85370" w14:textId="4BA10DA9" w:rsidR="006B54D5" w:rsidRPr="00874637" w:rsidRDefault="006B54D5" w:rsidP="66263CC9">
      <w:pPr>
        <w:jc w:val="both"/>
        <w:rPr>
          <w:rStyle w:val="Strong"/>
          <w:noProof/>
          <w:lang w:val="en-IE"/>
        </w:rPr>
      </w:pPr>
      <w:r w:rsidRPr="00874637">
        <w:rPr>
          <w:rStyle w:val="Strong"/>
          <w:noProof/>
          <w:lang w:val="en-IE"/>
        </w:rPr>
        <w:t xml:space="preserve">Follow-up performed in DG </w:t>
      </w:r>
      <w:r w:rsidR="003464EC" w:rsidRPr="00874637">
        <w:rPr>
          <w:rStyle w:val="Strong"/>
          <w:noProof/>
          <w:lang w:val="en-IE"/>
        </w:rPr>
        <w:t>HR</w:t>
      </w:r>
    </w:p>
    <w:p w14:paraId="53A5E33A" w14:textId="77777777" w:rsidR="006B54D5" w:rsidRPr="004B6CD8" w:rsidRDefault="006B54D5" w:rsidP="006B54D5">
      <w:pPr>
        <w:jc w:val="both"/>
        <w:rPr>
          <w:rFonts w:eastAsia="EC Square Sans Pro"/>
          <w:noProof/>
          <w:lang w:val="en-GB"/>
        </w:rPr>
      </w:pPr>
      <w:r w:rsidRPr="004B6CD8">
        <w:rPr>
          <w:rFonts w:eastAsia="EC Square Sans Pro"/>
          <w:noProof/>
          <w:lang w:val="en-GB"/>
        </w:rPr>
        <w:t>Based on the results of the follow-up audit, the IAS concluded that the following recommendation was adequately and effectively implemented:</w:t>
      </w:r>
    </w:p>
    <w:p w14:paraId="79228CE1" w14:textId="79965EB0" w:rsidR="003464EC" w:rsidRPr="004B6CD8" w:rsidRDefault="006B54D5" w:rsidP="003079ED">
      <w:pPr>
        <w:pStyle w:val="amprLISTtealbullets-L1"/>
        <w:rPr>
          <w:rFonts w:eastAsia="EC Square Sans Pro"/>
          <w:noProof/>
        </w:rPr>
      </w:pPr>
      <w:r w:rsidRPr="004B6CD8">
        <w:rPr>
          <w:rFonts w:eastAsia="EC Square Sans Pro"/>
          <w:noProof/>
        </w:rPr>
        <w:t xml:space="preserve">Recommendation No </w:t>
      </w:r>
      <w:r w:rsidR="003464EC" w:rsidRPr="004B6CD8">
        <w:rPr>
          <w:rFonts w:eastAsia="EC Square Sans Pro"/>
          <w:noProof/>
        </w:rPr>
        <w:t>1</w:t>
      </w:r>
      <w:r w:rsidRPr="004B6CD8">
        <w:rPr>
          <w:rFonts w:eastAsia="EC Square Sans Pro"/>
          <w:noProof/>
        </w:rPr>
        <w:t xml:space="preserve"> (very important): </w:t>
      </w:r>
      <w:r w:rsidR="003464EC" w:rsidRPr="004B6CD8">
        <w:rPr>
          <w:rFonts w:eastAsia="EC Square Sans Pro"/>
          <w:noProof/>
        </w:rPr>
        <w:t>support from the corporate services for the assessment of HR needs at local level</w:t>
      </w:r>
      <w:r w:rsidR="00664EAE" w:rsidRPr="004B6CD8">
        <w:rPr>
          <w:rFonts w:eastAsia="EC Square Sans Pro"/>
          <w:noProof/>
        </w:rPr>
        <w:t>.</w:t>
      </w:r>
    </w:p>
    <w:p w14:paraId="516279B5" w14:textId="6791B64F" w:rsidR="006B54D5" w:rsidRPr="00874637" w:rsidRDefault="006B54D5" w:rsidP="66263CC9">
      <w:pPr>
        <w:jc w:val="both"/>
        <w:rPr>
          <w:rStyle w:val="Strong"/>
          <w:noProof/>
          <w:lang w:val="en-IE"/>
        </w:rPr>
      </w:pPr>
      <w:bookmarkStart w:id="123" w:name="_Hlk228390882"/>
      <w:r w:rsidRPr="00874637">
        <w:rPr>
          <w:rStyle w:val="Strong"/>
          <w:noProof/>
          <w:lang w:val="en-IE"/>
        </w:rPr>
        <w:t xml:space="preserve">Follow-up performed in DG </w:t>
      </w:r>
      <w:r w:rsidR="003464EC" w:rsidRPr="00874637">
        <w:rPr>
          <w:rStyle w:val="Strong"/>
          <w:noProof/>
          <w:lang w:val="en-IE"/>
        </w:rPr>
        <w:t>BUDG</w:t>
      </w:r>
    </w:p>
    <w:bookmarkEnd w:id="123"/>
    <w:p w14:paraId="289E400A" w14:textId="5C0BE444" w:rsidR="003464EC" w:rsidRPr="004B6CD8" w:rsidRDefault="006B54D5" w:rsidP="003464EC">
      <w:pPr>
        <w:jc w:val="both"/>
        <w:rPr>
          <w:rFonts w:eastAsia="EC Square Sans Pro"/>
          <w:noProof/>
          <w:lang w:val="en-GB"/>
        </w:rPr>
      </w:pPr>
      <w:r w:rsidRPr="004B6CD8">
        <w:rPr>
          <w:rFonts w:eastAsia="EC Square Sans Pro"/>
          <w:noProof/>
          <w:lang w:val="en-GB"/>
        </w:rPr>
        <w:t xml:space="preserve">Based on the results of the follow-up audit, the IAS concluded that the following recommendation </w:t>
      </w:r>
      <w:r w:rsidR="003464EC" w:rsidRPr="004B6CD8">
        <w:rPr>
          <w:rFonts w:eastAsia="EC Square Sans Pro"/>
          <w:noProof/>
          <w:lang w:val="en-GB"/>
        </w:rPr>
        <w:t>was</w:t>
      </w:r>
      <w:r w:rsidRPr="004B6CD8">
        <w:rPr>
          <w:rFonts w:eastAsia="EC Square Sans Pro"/>
          <w:noProof/>
          <w:lang w:val="en-GB"/>
        </w:rPr>
        <w:t xml:space="preserve"> </w:t>
      </w:r>
      <w:r w:rsidR="003464EC" w:rsidRPr="004B6CD8">
        <w:rPr>
          <w:rFonts w:eastAsia="EC Square Sans Pro"/>
          <w:noProof/>
          <w:lang w:val="en-GB"/>
        </w:rPr>
        <w:t>adequately and effectively implemented:</w:t>
      </w:r>
    </w:p>
    <w:p w14:paraId="7995E0CD" w14:textId="38586F89" w:rsidR="003464EC" w:rsidRPr="004B6CD8" w:rsidRDefault="006B54D5" w:rsidP="003464EC">
      <w:pPr>
        <w:pStyle w:val="amprLISTtealbullets-L1"/>
        <w:rPr>
          <w:rFonts w:eastAsia="EC Square Sans Pro"/>
          <w:noProof/>
        </w:rPr>
      </w:pPr>
      <w:r w:rsidRPr="004B6CD8">
        <w:rPr>
          <w:rFonts w:eastAsia="EC Square Sans Pro"/>
          <w:noProof/>
        </w:rPr>
        <w:t xml:space="preserve">Recommendation No </w:t>
      </w:r>
      <w:r w:rsidR="003464EC" w:rsidRPr="004B6CD8">
        <w:rPr>
          <w:rFonts w:eastAsia="EC Square Sans Pro"/>
          <w:noProof/>
        </w:rPr>
        <w:t>2</w:t>
      </w:r>
      <w:r w:rsidRPr="004B6CD8">
        <w:rPr>
          <w:rFonts w:eastAsia="EC Square Sans Pro"/>
          <w:noProof/>
        </w:rPr>
        <w:t xml:space="preserve"> (very important): </w:t>
      </w:r>
      <w:r w:rsidR="003464EC" w:rsidRPr="004B6CD8">
        <w:rPr>
          <w:rFonts w:eastAsia="EC Square Sans Pro"/>
          <w:noProof/>
        </w:rPr>
        <w:t>support from the corporate services for the assessment of HR needs at local level</w:t>
      </w:r>
      <w:r w:rsidR="00664EAE" w:rsidRPr="004B6CD8">
        <w:rPr>
          <w:rFonts w:eastAsia="EC Square Sans Pro"/>
          <w:noProof/>
        </w:rPr>
        <w:t>.</w:t>
      </w:r>
    </w:p>
    <w:p w14:paraId="3CEC41CE" w14:textId="2FB91B9C" w:rsidR="003464EC" w:rsidRPr="00874637" w:rsidRDefault="003464EC" w:rsidP="66263CC9">
      <w:pPr>
        <w:jc w:val="both"/>
        <w:rPr>
          <w:rStyle w:val="Strong"/>
          <w:noProof/>
          <w:lang w:val="en-IE"/>
        </w:rPr>
      </w:pPr>
      <w:r w:rsidRPr="00874637">
        <w:rPr>
          <w:rStyle w:val="Strong"/>
          <w:noProof/>
          <w:lang w:val="en-IE"/>
        </w:rPr>
        <w:t>Follow-up performed in the SG</w:t>
      </w:r>
    </w:p>
    <w:p w14:paraId="5423F889" w14:textId="1610375C" w:rsidR="003464EC" w:rsidRPr="004B6CD8" w:rsidRDefault="003464EC" w:rsidP="003464EC">
      <w:pPr>
        <w:pStyle w:val="amprLISTtealbullets-L1"/>
        <w:rPr>
          <w:rStyle w:val="Strong"/>
          <w:noProof/>
        </w:rPr>
      </w:pPr>
      <w:r w:rsidRPr="004B6CD8">
        <w:rPr>
          <w:rFonts w:eastAsia="EC Square Sans Pro"/>
          <w:noProof/>
        </w:rPr>
        <w:t>Recommendation No 3 (very important): support from the corporate services for the assessment of HR needs at local level</w:t>
      </w:r>
      <w:r w:rsidR="00664EAE" w:rsidRPr="004B6CD8">
        <w:rPr>
          <w:rFonts w:eastAsia="EC Square Sans Pro"/>
          <w:noProof/>
        </w:rPr>
        <w:t>.</w:t>
      </w:r>
    </w:p>
    <w:p w14:paraId="45320B73" w14:textId="24EEFF67" w:rsidR="00A71772" w:rsidRPr="004B6CD8" w:rsidRDefault="0057062A" w:rsidP="00A71772">
      <w:pPr>
        <w:pStyle w:val="amprH3Title2-Numbered-11"/>
        <w:rPr>
          <w:noProof/>
        </w:rPr>
      </w:pPr>
      <w:bookmarkStart w:id="124" w:name="_Toc196835228"/>
      <w:bookmarkStart w:id="125" w:name="_Toc231235465"/>
      <w:r w:rsidRPr="004B6CD8">
        <w:rPr>
          <w:noProof/>
        </w:rPr>
        <w:t xml:space="preserve">Audit on </w:t>
      </w:r>
      <w:bookmarkEnd w:id="124"/>
      <w:r w:rsidR="003464EC" w:rsidRPr="004B6CD8">
        <w:rPr>
          <w:noProof/>
        </w:rPr>
        <w:t>protection of confidentiality of information at corporate level in DG HR, DG DIGIT and SG</w:t>
      </w:r>
      <w:bookmarkEnd w:id="125"/>
    </w:p>
    <w:p w14:paraId="033403DE" w14:textId="6C0779A2" w:rsidR="003464EC" w:rsidRPr="00874637" w:rsidRDefault="003464EC" w:rsidP="66263CC9">
      <w:pPr>
        <w:jc w:val="both"/>
        <w:rPr>
          <w:rStyle w:val="Strong"/>
          <w:noProof/>
          <w:lang w:val="en-IE"/>
        </w:rPr>
      </w:pPr>
      <w:r w:rsidRPr="00874637">
        <w:rPr>
          <w:rStyle w:val="Strong"/>
          <w:noProof/>
          <w:lang w:val="en-IE"/>
        </w:rPr>
        <w:t>Follow-up performed in DG HR</w:t>
      </w:r>
    </w:p>
    <w:p w14:paraId="4C9E2D26" w14:textId="4AB50CD5" w:rsidR="003464EC" w:rsidRPr="004B6CD8" w:rsidRDefault="003464EC" w:rsidP="00A71772">
      <w:pPr>
        <w:jc w:val="both"/>
        <w:rPr>
          <w:rFonts w:eastAsia="Calibri" w:cs="Tunga"/>
          <w:noProof/>
          <w:szCs w:val="20"/>
          <w:lang w:val="en-GB"/>
        </w:rPr>
      </w:pPr>
      <w:r w:rsidRPr="004B6CD8">
        <w:rPr>
          <w:rFonts w:eastAsia="Calibri" w:cs="Tunga"/>
          <w:noProof/>
          <w:szCs w:val="20"/>
          <w:lang w:val="en-GB"/>
        </w:rPr>
        <w:t>Based on the results of the follow-up audit, the IAS concluded that the following recommendation</w:t>
      </w:r>
      <w:r w:rsidR="00916074" w:rsidRPr="004B6CD8">
        <w:rPr>
          <w:rFonts w:eastAsia="Calibri" w:cs="Tunga"/>
          <w:noProof/>
          <w:szCs w:val="20"/>
          <w:lang w:val="en-GB"/>
        </w:rPr>
        <w:t>s</w:t>
      </w:r>
      <w:r w:rsidRPr="004B6CD8">
        <w:rPr>
          <w:rFonts w:eastAsia="Calibri" w:cs="Tunga"/>
          <w:noProof/>
          <w:szCs w:val="20"/>
          <w:lang w:val="en-GB"/>
        </w:rPr>
        <w:t xml:space="preserve"> w</w:t>
      </w:r>
      <w:r w:rsidR="00916074" w:rsidRPr="004B6CD8">
        <w:rPr>
          <w:rFonts w:eastAsia="Calibri" w:cs="Tunga"/>
          <w:noProof/>
          <w:szCs w:val="20"/>
          <w:lang w:val="en-GB"/>
        </w:rPr>
        <w:t>ere</w:t>
      </w:r>
      <w:r w:rsidRPr="004B6CD8">
        <w:rPr>
          <w:rFonts w:eastAsia="Calibri" w:cs="Tunga"/>
          <w:noProof/>
          <w:szCs w:val="20"/>
          <w:lang w:val="en-GB"/>
        </w:rPr>
        <w:t xml:space="preserve"> adequately</w:t>
      </w:r>
      <w:r w:rsidRPr="004B6CD8">
        <w:rPr>
          <w:noProof/>
          <w:lang w:val="en-GB"/>
        </w:rPr>
        <w:t xml:space="preserve"> and </w:t>
      </w:r>
      <w:r w:rsidRPr="004B6CD8">
        <w:rPr>
          <w:rFonts w:eastAsia="Calibri" w:cs="Tunga"/>
          <w:noProof/>
          <w:szCs w:val="20"/>
          <w:lang w:val="en-GB"/>
        </w:rPr>
        <w:t>effectively implemented:</w:t>
      </w:r>
    </w:p>
    <w:p w14:paraId="40BCC7C7" w14:textId="373CD3F4" w:rsidR="008B4396" w:rsidRPr="004B6CD8" w:rsidRDefault="003464EC" w:rsidP="1D7902B0">
      <w:pPr>
        <w:pStyle w:val="amprLISTtealbullets-L1"/>
        <w:rPr>
          <w:rFonts w:eastAsia="Calibri"/>
          <w:noProof/>
        </w:rPr>
      </w:pPr>
      <w:r w:rsidRPr="004B6CD8">
        <w:rPr>
          <w:rFonts w:eastAsia="Calibri"/>
          <w:bCs/>
          <w:iCs/>
          <w:noProof/>
        </w:rPr>
        <w:t xml:space="preserve">Recommendation </w:t>
      </w:r>
      <w:r w:rsidRPr="004B6CD8">
        <w:rPr>
          <w:rFonts w:eastAsia="Calibri"/>
          <w:noProof/>
        </w:rPr>
        <w:t>No</w:t>
      </w:r>
      <w:r w:rsidR="00916074" w:rsidRPr="004B6CD8">
        <w:rPr>
          <w:rFonts w:eastAsia="Calibri"/>
          <w:noProof/>
        </w:rPr>
        <w:t xml:space="preserve"> 7 (very important): IT controls to ensure protection of sensitive non classified information</w:t>
      </w:r>
      <w:r w:rsidR="008B4396" w:rsidRPr="49FC5B01" w:rsidDel="00664EAE">
        <w:rPr>
          <w:rFonts w:eastAsia="Calibri"/>
          <w:noProof/>
        </w:rPr>
        <w:t>.</w:t>
      </w:r>
    </w:p>
    <w:p w14:paraId="074785DC" w14:textId="077D80F1" w:rsidR="000B5731" w:rsidRDefault="00916074" w:rsidP="00916074">
      <w:pPr>
        <w:pStyle w:val="amprLISTtealbullets-L1"/>
        <w:rPr>
          <w:rFonts w:eastAsia="Calibri"/>
          <w:noProof/>
        </w:rPr>
      </w:pPr>
      <w:r w:rsidRPr="004B6CD8">
        <w:rPr>
          <w:rFonts w:eastAsia="Calibri"/>
          <w:bCs/>
          <w:iCs/>
          <w:noProof/>
        </w:rPr>
        <w:t xml:space="preserve">Recommendation No 9 </w:t>
      </w:r>
      <w:r w:rsidRPr="004B6CD8">
        <w:rPr>
          <w:rFonts w:eastAsia="Calibri"/>
          <w:noProof/>
        </w:rPr>
        <w:t>(very important): process for managing information security incidents</w:t>
      </w:r>
      <w:r w:rsidR="00664EAE" w:rsidRPr="004B6CD8">
        <w:rPr>
          <w:rFonts w:eastAsia="Calibri"/>
          <w:noProof/>
        </w:rPr>
        <w:t>.</w:t>
      </w:r>
    </w:p>
    <w:p w14:paraId="74C847E2" w14:textId="77777777" w:rsidR="000B5731" w:rsidRDefault="000B5731">
      <w:pPr>
        <w:spacing w:before="0" w:after="160"/>
        <w:rPr>
          <w:rFonts w:eastAsia="Calibri" w:cs="Tunga"/>
          <w:noProof/>
          <w:kern w:val="0"/>
          <w:szCs w:val="20"/>
          <w:lang w:val="en-GB" w:eastAsia="en-GB"/>
          <w14:ligatures w14:val="none"/>
        </w:rPr>
      </w:pPr>
      <w:r w:rsidRPr="00127BC0">
        <w:rPr>
          <w:rFonts w:eastAsia="Calibri"/>
          <w:noProof/>
          <w:lang w:val="en-US"/>
        </w:rPr>
        <w:br w:type="page"/>
      </w:r>
    </w:p>
    <w:p w14:paraId="34E8A79D" w14:textId="0D940943" w:rsidR="00A71772" w:rsidRPr="004B6CD8" w:rsidRDefault="00A71772" w:rsidP="00A71772">
      <w:pPr>
        <w:jc w:val="both"/>
        <w:rPr>
          <w:rFonts w:eastAsia="Calibri"/>
          <w:b/>
          <w:bCs/>
          <w:noProof/>
          <w:color w:val="003399" w:themeColor="text2"/>
          <w:lang w:val="en-GB"/>
        </w:rPr>
      </w:pPr>
      <w:r w:rsidRPr="004B6CD8">
        <w:rPr>
          <w:rStyle w:val="Strong"/>
          <w:bCs/>
          <w:noProof/>
        </w:rPr>
        <w:t>Follow</w:t>
      </w:r>
      <w:r w:rsidRPr="004B6CD8">
        <w:rPr>
          <w:rFonts w:eastAsia="Calibri"/>
          <w:bCs/>
          <w:noProof/>
          <w:color w:val="003399" w:themeColor="text2"/>
          <w:lang w:val="en-GB"/>
        </w:rPr>
        <w:t>-</w:t>
      </w:r>
      <w:r w:rsidRPr="004B6CD8">
        <w:rPr>
          <w:rFonts w:eastAsia="Calibri"/>
          <w:b/>
          <w:bCs/>
          <w:noProof/>
          <w:color w:val="003399" w:themeColor="text2"/>
          <w:lang w:val="en-GB"/>
        </w:rPr>
        <w:t xml:space="preserve">up performed in DG </w:t>
      </w:r>
      <w:r w:rsidR="003464EC" w:rsidRPr="004B6CD8">
        <w:rPr>
          <w:rFonts w:eastAsia="Calibri"/>
          <w:b/>
          <w:bCs/>
          <w:noProof/>
          <w:color w:val="003399" w:themeColor="text2"/>
          <w:lang w:val="en-GB"/>
        </w:rPr>
        <w:t>DIGIT</w:t>
      </w:r>
    </w:p>
    <w:p w14:paraId="0FD20114" w14:textId="40BE7FFB" w:rsidR="00A71772" w:rsidRPr="004B6CD8" w:rsidRDefault="00A71772" w:rsidP="00A71772">
      <w:pPr>
        <w:jc w:val="both"/>
        <w:rPr>
          <w:rFonts w:eastAsia="Calibri"/>
          <w:b/>
          <w:bCs/>
          <w:noProof/>
          <w:color w:val="003399" w:themeColor="text2"/>
          <w:lang w:val="en-GB"/>
        </w:rPr>
      </w:pPr>
      <w:r w:rsidRPr="004B6CD8">
        <w:rPr>
          <w:rFonts w:eastAsia="Calibri" w:cs="Tunga"/>
          <w:noProof/>
          <w:szCs w:val="20"/>
          <w:lang w:val="en-GB"/>
        </w:rPr>
        <w:t>Based on the results of the follow-up audit, the IAS concluded that the following recommendation w</w:t>
      </w:r>
      <w:r w:rsidR="003464EC" w:rsidRPr="004B6CD8">
        <w:rPr>
          <w:rFonts w:eastAsia="Calibri" w:cs="Tunga"/>
          <w:noProof/>
          <w:szCs w:val="20"/>
          <w:lang w:val="en-GB"/>
        </w:rPr>
        <w:t xml:space="preserve">as </w:t>
      </w:r>
      <w:r w:rsidR="00204856" w:rsidRPr="004B6CD8">
        <w:rPr>
          <w:rFonts w:eastAsia="Calibri" w:cs="Tunga"/>
          <w:noProof/>
          <w:szCs w:val="20"/>
          <w:lang w:val="en-GB"/>
        </w:rPr>
        <w:t>partially</w:t>
      </w:r>
      <w:r w:rsidRPr="004B6CD8">
        <w:rPr>
          <w:rFonts w:eastAsia="Calibri" w:cs="Tunga"/>
          <w:noProof/>
          <w:szCs w:val="20"/>
          <w:lang w:val="en-GB"/>
        </w:rPr>
        <w:t xml:space="preserve"> implemented:</w:t>
      </w:r>
    </w:p>
    <w:p w14:paraId="3E9E8BB3" w14:textId="64E25682" w:rsidR="0057062A" w:rsidRPr="004B6CD8" w:rsidRDefault="00A71772" w:rsidP="003079ED">
      <w:pPr>
        <w:pStyle w:val="amprLISTtealbullets-L1"/>
        <w:rPr>
          <w:noProof/>
        </w:rPr>
      </w:pPr>
      <w:r w:rsidRPr="004B6CD8">
        <w:rPr>
          <w:rFonts w:eastAsia="Calibri"/>
          <w:noProof/>
        </w:rPr>
        <w:t xml:space="preserve">Recommendation No </w:t>
      </w:r>
      <w:r w:rsidR="003464EC" w:rsidRPr="004B6CD8">
        <w:rPr>
          <w:rFonts w:eastAsia="Calibri"/>
          <w:noProof/>
        </w:rPr>
        <w:t>6</w:t>
      </w:r>
      <w:r w:rsidRPr="004B6CD8">
        <w:rPr>
          <w:rFonts w:eastAsia="Calibri"/>
          <w:noProof/>
        </w:rPr>
        <w:t xml:space="preserve"> </w:t>
      </w:r>
      <w:bookmarkStart w:id="126" w:name="_Toc196835229"/>
      <w:r w:rsidR="003464EC" w:rsidRPr="004B6CD8">
        <w:rPr>
          <w:rFonts w:eastAsia="Calibri"/>
          <w:noProof/>
        </w:rPr>
        <w:t>(</w:t>
      </w:r>
      <w:r w:rsidR="00204856" w:rsidRPr="004B6CD8">
        <w:rPr>
          <w:rFonts w:eastAsia="Calibri"/>
          <w:noProof/>
        </w:rPr>
        <w:t xml:space="preserve">downgraded from </w:t>
      </w:r>
      <w:r w:rsidR="003464EC" w:rsidRPr="004B6CD8">
        <w:rPr>
          <w:rFonts w:eastAsia="Calibri"/>
          <w:noProof/>
        </w:rPr>
        <w:t>very important</w:t>
      </w:r>
      <w:r w:rsidR="00204856" w:rsidRPr="004B6CD8">
        <w:rPr>
          <w:rFonts w:eastAsia="Calibri"/>
          <w:noProof/>
        </w:rPr>
        <w:t xml:space="preserve"> to important</w:t>
      </w:r>
      <w:r w:rsidR="003464EC" w:rsidRPr="004B6CD8">
        <w:rPr>
          <w:rFonts w:eastAsia="Calibri"/>
          <w:noProof/>
        </w:rPr>
        <w:t>): IT controls to ensure protection of sensitive non-classified information</w:t>
      </w:r>
      <w:bookmarkEnd w:id="126"/>
      <w:r w:rsidR="00664EAE" w:rsidRPr="004B6CD8">
        <w:rPr>
          <w:rFonts w:eastAsia="Calibri"/>
          <w:noProof/>
        </w:rPr>
        <w:t>.</w:t>
      </w:r>
    </w:p>
    <w:p w14:paraId="12E453B1" w14:textId="151AABAC" w:rsidR="00D84D05" w:rsidRPr="004B6CD8" w:rsidRDefault="00D84D05" w:rsidP="00D84D05">
      <w:pPr>
        <w:jc w:val="both"/>
        <w:rPr>
          <w:rFonts w:eastAsia="Calibri"/>
          <w:b/>
          <w:bCs/>
          <w:noProof/>
          <w:color w:val="003399" w:themeColor="text2"/>
          <w:lang w:val="en-GB"/>
        </w:rPr>
      </w:pPr>
      <w:r w:rsidRPr="004B6CD8">
        <w:rPr>
          <w:rFonts w:eastAsia="Calibri"/>
          <w:b/>
          <w:bCs/>
          <w:noProof/>
          <w:color w:val="003399" w:themeColor="text2"/>
          <w:lang w:val="en-GB"/>
        </w:rPr>
        <w:t xml:space="preserve">Follow-up performed in </w:t>
      </w:r>
      <w:r w:rsidR="00916074" w:rsidRPr="004B6CD8">
        <w:rPr>
          <w:rFonts w:eastAsia="Calibri"/>
          <w:b/>
          <w:bCs/>
          <w:noProof/>
          <w:color w:val="003399" w:themeColor="text2"/>
          <w:lang w:val="en-GB"/>
        </w:rPr>
        <w:t xml:space="preserve">the SG </w:t>
      </w:r>
    </w:p>
    <w:p w14:paraId="0421B327" w14:textId="1B690884" w:rsidR="00D84D05" w:rsidRPr="004B6CD8" w:rsidRDefault="00D84D05" w:rsidP="00D84D05">
      <w:pPr>
        <w:jc w:val="both"/>
        <w:rPr>
          <w:rFonts w:eastAsia="Calibri"/>
          <w:noProof/>
          <w:lang w:val="en-GB"/>
        </w:rPr>
      </w:pPr>
      <w:r w:rsidRPr="004B6CD8">
        <w:rPr>
          <w:rFonts w:eastAsia="Calibri"/>
          <w:noProof/>
          <w:lang w:val="en-GB"/>
        </w:rPr>
        <w:t>Based on the results of the follow-up audit, the IAS concluded that the following recommendation w</w:t>
      </w:r>
      <w:r w:rsidR="00916074" w:rsidRPr="004B6CD8">
        <w:rPr>
          <w:rFonts w:eastAsia="Calibri"/>
          <w:noProof/>
          <w:lang w:val="en-GB"/>
        </w:rPr>
        <w:t>as</w:t>
      </w:r>
      <w:r w:rsidRPr="004B6CD8">
        <w:rPr>
          <w:rFonts w:eastAsia="Calibri"/>
          <w:noProof/>
          <w:lang w:val="en-GB"/>
        </w:rPr>
        <w:t xml:space="preserve"> adequately and effectively implemented:</w:t>
      </w:r>
    </w:p>
    <w:p w14:paraId="59E16A26" w14:textId="5A1DADF7" w:rsidR="00916074" w:rsidRPr="004B6CD8" w:rsidRDefault="00D84D05" w:rsidP="003079ED">
      <w:pPr>
        <w:pStyle w:val="amprLISTtealbullets-L1"/>
        <w:rPr>
          <w:rFonts w:eastAsia="Calibri"/>
          <w:noProof/>
        </w:rPr>
      </w:pPr>
      <w:r w:rsidRPr="004B6CD8">
        <w:rPr>
          <w:rFonts w:eastAsia="Calibri"/>
          <w:noProof/>
        </w:rPr>
        <w:t xml:space="preserve">Recommendation No </w:t>
      </w:r>
      <w:r w:rsidR="00916074" w:rsidRPr="004B6CD8">
        <w:rPr>
          <w:rFonts w:eastAsia="Calibri"/>
          <w:noProof/>
        </w:rPr>
        <w:t>8</w:t>
      </w:r>
      <w:r w:rsidRPr="004B6CD8">
        <w:rPr>
          <w:rFonts w:eastAsia="Calibri"/>
          <w:noProof/>
        </w:rPr>
        <w:t xml:space="preserve"> (</w:t>
      </w:r>
      <w:r w:rsidR="00916074" w:rsidRPr="004B6CD8">
        <w:rPr>
          <w:rFonts w:eastAsia="Calibri"/>
          <w:noProof/>
        </w:rPr>
        <w:t xml:space="preserve">very </w:t>
      </w:r>
      <w:r w:rsidRPr="004B6CD8">
        <w:rPr>
          <w:rFonts w:eastAsia="Calibri"/>
          <w:noProof/>
        </w:rPr>
        <w:t xml:space="preserve">important): </w:t>
      </w:r>
      <w:r w:rsidR="00916074" w:rsidRPr="004B6CD8">
        <w:rPr>
          <w:rFonts w:eastAsia="Calibri"/>
          <w:noProof/>
        </w:rPr>
        <w:t>IT controls to ensure protection of sensitive non-classified information</w:t>
      </w:r>
      <w:r w:rsidR="00664EAE" w:rsidRPr="004B6CD8">
        <w:rPr>
          <w:rFonts w:eastAsia="Calibri"/>
          <w:noProof/>
        </w:rPr>
        <w:t>.</w:t>
      </w:r>
    </w:p>
    <w:p w14:paraId="5CAEC5B6" w14:textId="084E021E" w:rsidR="00B70B7D" w:rsidRPr="004B6CD8" w:rsidRDefault="00D84D05" w:rsidP="003079ED">
      <w:pPr>
        <w:pStyle w:val="amprH3Title2-Numbered-11"/>
        <w:jc w:val="both"/>
        <w:rPr>
          <w:noProof/>
        </w:rPr>
      </w:pPr>
      <w:bookmarkStart w:id="127" w:name="_Toc196835230"/>
      <w:bookmarkStart w:id="128" w:name="_Toc231235466"/>
      <w:r w:rsidRPr="004B6CD8">
        <w:rPr>
          <w:noProof/>
        </w:rPr>
        <w:t>Audit</w:t>
      </w:r>
      <w:r w:rsidR="0057062A" w:rsidRPr="004B6CD8">
        <w:rPr>
          <w:noProof/>
        </w:rPr>
        <w:t xml:space="preserve"> on </w:t>
      </w:r>
      <w:bookmarkStart w:id="129" w:name="_Toc196835231"/>
      <w:bookmarkEnd w:id="127"/>
      <w:r w:rsidR="00693714" w:rsidRPr="004B6CD8">
        <w:rPr>
          <w:noProof/>
        </w:rPr>
        <w:t>the management of large-scale building projects involving works in OIB and OIL</w:t>
      </w:r>
      <w:bookmarkEnd w:id="128"/>
    </w:p>
    <w:p w14:paraId="0FE049F9" w14:textId="657973FE" w:rsidR="00693714" w:rsidRPr="004B6CD8" w:rsidRDefault="00693714" w:rsidP="00B70B7D">
      <w:pPr>
        <w:jc w:val="both"/>
        <w:rPr>
          <w:rFonts w:eastAsia="Calibri"/>
          <w:b/>
          <w:bCs/>
          <w:noProof/>
          <w:color w:val="003399" w:themeColor="text2"/>
          <w:lang w:val="en-GB"/>
        </w:rPr>
      </w:pPr>
      <w:r w:rsidRPr="004B6CD8">
        <w:rPr>
          <w:rFonts w:eastAsia="Calibri"/>
          <w:b/>
          <w:bCs/>
          <w:noProof/>
          <w:color w:val="003399" w:themeColor="text2"/>
          <w:lang w:val="en-GB"/>
        </w:rPr>
        <w:t xml:space="preserve">Follow-up performed in OIB </w:t>
      </w:r>
    </w:p>
    <w:p w14:paraId="37E3BD8C" w14:textId="7BB1236D" w:rsidR="00B70B7D" w:rsidRPr="004B6CD8" w:rsidRDefault="00B70B7D" w:rsidP="00B70B7D">
      <w:pPr>
        <w:jc w:val="both"/>
        <w:rPr>
          <w:rFonts w:eastAsia="Calibri"/>
          <w:noProof/>
          <w:lang w:val="en-GB"/>
        </w:rPr>
      </w:pPr>
      <w:r w:rsidRPr="004B6CD8">
        <w:rPr>
          <w:rFonts w:eastAsia="Calibri"/>
          <w:noProof/>
          <w:lang w:val="en-GB"/>
        </w:rPr>
        <w:t xml:space="preserve">Based on the results of the follow-up audit, the IAS concluded that the following recommendation was </w:t>
      </w:r>
      <w:r w:rsidR="00693714" w:rsidRPr="004B6CD8">
        <w:rPr>
          <w:rFonts w:eastAsia="Calibri"/>
          <w:noProof/>
          <w:lang w:val="en-GB"/>
        </w:rPr>
        <w:t xml:space="preserve">not </w:t>
      </w:r>
      <w:r w:rsidRPr="004B6CD8">
        <w:rPr>
          <w:rFonts w:eastAsia="Calibri"/>
          <w:noProof/>
          <w:lang w:val="en-GB"/>
        </w:rPr>
        <w:t>adequately and effectively implemented</w:t>
      </w:r>
      <w:r w:rsidR="00693714" w:rsidRPr="004B6CD8">
        <w:rPr>
          <w:rFonts w:eastAsia="Calibri"/>
          <w:noProof/>
          <w:lang w:val="en-GB"/>
        </w:rPr>
        <w:t xml:space="preserve"> and reopened</w:t>
      </w:r>
      <w:r w:rsidRPr="004B6CD8">
        <w:rPr>
          <w:rFonts w:eastAsia="Calibri"/>
          <w:noProof/>
          <w:lang w:val="en-GB"/>
        </w:rPr>
        <w:t>:</w:t>
      </w:r>
    </w:p>
    <w:p w14:paraId="510C69D7" w14:textId="3FA7B66C" w:rsidR="00693714" w:rsidRPr="004B6CD8" w:rsidRDefault="00B70B7D" w:rsidP="00693714">
      <w:pPr>
        <w:pStyle w:val="amprLISTtealbullets-L1"/>
        <w:rPr>
          <w:rFonts w:eastAsia="Calibri"/>
          <w:b/>
          <w:bCs/>
          <w:noProof/>
          <w:color w:val="003399" w:themeColor="text2"/>
        </w:rPr>
      </w:pPr>
      <w:r w:rsidRPr="004B6CD8">
        <w:rPr>
          <w:rFonts w:eastAsia="Calibri"/>
          <w:noProof/>
        </w:rPr>
        <w:t>Recommendation</w:t>
      </w:r>
      <w:r w:rsidRPr="004B6CD8">
        <w:rPr>
          <w:noProof/>
        </w:rPr>
        <w:t xml:space="preserve"> No </w:t>
      </w:r>
      <w:r w:rsidR="00693714" w:rsidRPr="004B6CD8">
        <w:rPr>
          <w:noProof/>
        </w:rPr>
        <w:t>8</w:t>
      </w:r>
      <w:r w:rsidRPr="004B6CD8">
        <w:rPr>
          <w:noProof/>
        </w:rPr>
        <w:t xml:space="preserve"> (</w:t>
      </w:r>
      <w:r w:rsidR="00693714" w:rsidRPr="004B6CD8">
        <w:rPr>
          <w:noProof/>
        </w:rPr>
        <w:t xml:space="preserve">very </w:t>
      </w:r>
      <w:r w:rsidRPr="004B6CD8">
        <w:rPr>
          <w:noProof/>
        </w:rPr>
        <w:t xml:space="preserve">important): </w:t>
      </w:r>
      <w:r w:rsidR="00693714" w:rsidRPr="004B6CD8">
        <w:rPr>
          <w:noProof/>
        </w:rPr>
        <w:t>management of large - scale projects – approach and procurement activities</w:t>
      </w:r>
      <w:r w:rsidR="00664EAE" w:rsidRPr="004B6CD8">
        <w:rPr>
          <w:noProof/>
        </w:rPr>
        <w:t>.</w:t>
      </w:r>
    </w:p>
    <w:p w14:paraId="47D98206" w14:textId="77777777" w:rsidR="00693714" w:rsidRPr="004B6CD8" w:rsidRDefault="00693714" w:rsidP="00693714">
      <w:pPr>
        <w:jc w:val="both"/>
        <w:rPr>
          <w:rFonts w:eastAsia="Calibri"/>
          <w:b/>
          <w:bCs/>
          <w:noProof/>
          <w:color w:val="003399" w:themeColor="text2"/>
          <w:lang w:val="en-GB"/>
        </w:rPr>
      </w:pPr>
      <w:r w:rsidRPr="004B6CD8">
        <w:rPr>
          <w:rFonts w:eastAsia="Calibri"/>
          <w:b/>
          <w:bCs/>
          <w:noProof/>
          <w:color w:val="003399" w:themeColor="text2"/>
          <w:lang w:val="en-GB"/>
        </w:rPr>
        <w:t>Follow-up performed in OIL</w:t>
      </w:r>
    </w:p>
    <w:p w14:paraId="5111A18D" w14:textId="1860779D" w:rsidR="00693714" w:rsidRPr="004B6CD8" w:rsidRDefault="00693714" w:rsidP="003079ED">
      <w:pPr>
        <w:jc w:val="both"/>
        <w:rPr>
          <w:b/>
          <w:noProof/>
          <w:color w:val="003399" w:themeColor="text2"/>
          <w:lang w:val="en-GB"/>
        </w:rPr>
      </w:pPr>
      <w:r w:rsidRPr="004B6CD8">
        <w:rPr>
          <w:noProof/>
          <w:lang w:val="en-GB"/>
        </w:rPr>
        <w:t>Based on the results of the follow-up audit, the IAS concluded that the following recommendation was adequately and effectively implemented</w:t>
      </w:r>
      <w:r w:rsidRPr="004B6CD8">
        <w:rPr>
          <w:b/>
          <w:noProof/>
          <w:color w:val="003399" w:themeColor="text2"/>
          <w:lang w:val="en-GB"/>
        </w:rPr>
        <w:t>:</w:t>
      </w:r>
    </w:p>
    <w:p w14:paraId="245465F7" w14:textId="200E10F9" w:rsidR="00693714" w:rsidRPr="004B6CD8" w:rsidRDefault="00693714" w:rsidP="00693714">
      <w:pPr>
        <w:pStyle w:val="amprLISTtealbullets-L1"/>
        <w:rPr>
          <w:rFonts w:eastAsia="Calibri"/>
          <w:b/>
          <w:bCs/>
          <w:noProof/>
          <w:color w:val="003399" w:themeColor="text2"/>
        </w:rPr>
      </w:pPr>
      <w:r w:rsidRPr="004B6CD8">
        <w:rPr>
          <w:rFonts w:eastAsia="Calibri"/>
          <w:noProof/>
        </w:rPr>
        <w:t xml:space="preserve">Recommendation No </w:t>
      </w:r>
      <w:r w:rsidR="00AD6312" w:rsidRPr="004B6CD8">
        <w:rPr>
          <w:rFonts w:eastAsia="Calibri"/>
          <w:noProof/>
        </w:rPr>
        <w:t>9</w:t>
      </w:r>
      <w:r w:rsidRPr="004B6CD8">
        <w:rPr>
          <w:rFonts w:eastAsia="Calibri"/>
          <w:noProof/>
        </w:rPr>
        <w:t xml:space="preserve"> (very important): management of large - scale projects – approach and procurement activities</w:t>
      </w:r>
      <w:r w:rsidR="00664EAE" w:rsidRPr="004B6CD8">
        <w:rPr>
          <w:rFonts w:eastAsia="Calibri"/>
          <w:noProof/>
        </w:rPr>
        <w:t>.</w:t>
      </w:r>
    </w:p>
    <w:p w14:paraId="36EB62F3" w14:textId="133F469C" w:rsidR="00B70B7D" w:rsidRPr="004B6CD8" w:rsidRDefault="00693714" w:rsidP="00B70B7D">
      <w:pPr>
        <w:pStyle w:val="amprH3Title2-Numbered-11"/>
        <w:rPr>
          <w:noProof/>
        </w:rPr>
      </w:pPr>
      <w:bookmarkStart w:id="130" w:name="_Toc231235467"/>
      <w:r w:rsidRPr="004B6CD8">
        <w:rPr>
          <w:noProof/>
        </w:rPr>
        <w:t>Review of the Commission’s risk at payment in DG BUDG, DG EMPL, DG INTPA, DG NEAR, DG REGIO, DG RTD, EISMEA, ERCEA and REA</w:t>
      </w:r>
      <w:bookmarkEnd w:id="130"/>
    </w:p>
    <w:p w14:paraId="5D7FEE9E" w14:textId="2445E944" w:rsidR="00B70B7D" w:rsidRPr="004B6CD8" w:rsidRDefault="00B70B7D" w:rsidP="00B70B7D">
      <w:pPr>
        <w:jc w:val="both"/>
        <w:rPr>
          <w:rFonts w:eastAsia="Calibri"/>
          <w:b/>
          <w:bCs/>
          <w:noProof/>
          <w:color w:val="003399" w:themeColor="text2"/>
          <w:lang w:val="en-GB"/>
        </w:rPr>
      </w:pPr>
      <w:bookmarkStart w:id="131" w:name="_Hlk228391716"/>
      <w:r w:rsidRPr="004B6CD8">
        <w:rPr>
          <w:rFonts w:eastAsia="Calibri"/>
          <w:b/>
          <w:bCs/>
          <w:noProof/>
          <w:color w:val="003399" w:themeColor="text2"/>
          <w:lang w:val="en-GB"/>
        </w:rPr>
        <w:t xml:space="preserve">Follow-up performed in </w:t>
      </w:r>
      <w:bookmarkEnd w:id="131"/>
      <w:r w:rsidRPr="004B6CD8">
        <w:rPr>
          <w:rFonts w:eastAsia="Calibri"/>
          <w:b/>
          <w:bCs/>
          <w:noProof/>
          <w:color w:val="003399" w:themeColor="text2"/>
          <w:lang w:val="en-GB"/>
        </w:rPr>
        <w:t xml:space="preserve">DG </w:t>
      </w:r>
      <w:r w:rsidR="00693714" w:rsidRPr="004B6CD8">
        <w:rPr>
          <w:rFonts w:eastAsia="Calibri"/>
          <w:b/>
          <w:bCs/>
          <w:noProof/>
          <w:color w:val="003399" w:themeColor="text2"/>
          <w:lang w:val="en-GB"/>
        </w:rPr>
        <w:t>BUDG</w:t>
      </w:r>
    </w:p>
    <w:p w14:paraId="67255CEB" w14:textId="29128908" w:rsidR="002E050A" w:rsidRPr="004B6CD8" w:rsidRDefault="00B70B7D" w:rsidP="002E050A">
      <w:pPr>
        <w:jc w:val="both"/>
        <w:rPr>
          <w:noProof/>
          <w:lang w:val="en-GB" w:eastAsia="zh-CN"/>
        </w:rPr>
      </w:pPr>
      <w:r w:rsidRPr="004B6CD8">
        <w:rPr>
          <w:noProof/>
          <w:lang w:val="en-GB" w:eastAsia="zh-CN"/>
        </w:rPr>
        <w:t xml:space="preserve">Based on the results of the follow-up audit, the IAS concluded that the following recommendation was </w:t>
      </w:r>
      <w:r w:rsidR="002E050A" w:rsidRPr="004B6CD8">
        <w:rPr>
          <w:noProof/>
          <w:lang w:val="en-GB" w:eastAsia="zh-CN"/>
        </w:rPr>
        <w:t>adequately and effectively implemented:</w:t>
      </w:r>
    </w:p>
    <w:p w14:paraId="2D0BD8E3" w14:textId="59D1AD19" w:rsidR="000B5731" w:rsidRDefault="00B70B7D" w:rsidP="002E050A">
      <w:pPr>
        <w:pStyle w:val="amprLISTtealbullets-L1"/>
        <w:rPr>
          <w:rFonts w:eastAsia="Calibri"/>
          <w:noProof/>
          <w:lang w:eastAsia="zh-CN"/>
        </w:rPr>
      </w:pPr>
      <w:r w:rsidRPr="004B6CD8">
        <w:rPr>
          <w:rFonts w:eastAsia="Calibri"/>
          <w:noProof/>
        </w:rPr>
        <w:t>Recommendation</w:t>
      </w:r>
      <w:r w:rsidRPr="004B6CD8">
        <w:rPr>
          <w:noProof/>
          <w:lang w:eastAsia="zh-CN"/>
        </w:rPr>
        <w:t xml:space="preserve"> No </w:t>
      </w:r>
      <w:r w:rsidR="002E050A" w:rsidRPr="004B6CD8">
        <w:rPr>
          <w:noProof/>
          <w:lang w:eastAsia="zh-CN"/>
        </w:rPr>
        <w:t>9</w:t>
      </w:r>
      <w:r w:rsidRPr="004B6CD8">
        <w:rPr>
          <w:noProof/>
          <w:lang w:eastAsia="zh-CN"/>
        </w:rPr>
        <w:t xml:space="preserve"> (</w:t>
      </w:r>
      <w:r w:rsidR="002E050A" w:rsidRPr="004B6CD8">
        <w:rPr>
          <w:noProof/>
          <w:lang w:eastAsia="zh-CN"/>
        </w:rPr>
        <w:t xml:space="preserve">very </w:t>
      </w:r>
      <w:r w:rsidRPr="004B6CD8">
        <w:rPr>
          <w:noProof/>
          <w:lang w:eastAsia="zh-CN"/>
        </w:rPr>
        <w:t xml:space="preserve">important): </w:t>
      </w:r>
      <w:r w:rsidR="002E050A" w:rsidRPr="004B6CD8">
        <w:rPr>
          <w:noProof/>
          <w:lang w:eastAsia="zh-CN"/>
        </w:rPr>
        <w:t xml:space="preserve">analysis and (internal) reporting of the root causes of errors in relation to </w:t>
      </w:r>
      <w:r w:rsidR="00933C95" w:rsidRPr="004B6CD8">
        <w:rPr>
          <w:noProof/>
          <w:lang w:eastAsia="zh-CN"/>
        </w:rPr>
        <w:t xml:space="preserve">the European Court of Auditors’ </w:t>
      </w:r>
      <w:r w:rsidR="002E050A" w:rsidRPr="004B6CD8">
        <w:rPr>
          <w:noProof/>
          <w:lang w:eastAsia="zh-CN"/>
        </w:rPr>
        <w:t>findings</w:t>
      </w:r>
      <w:r w:rsidR="00664EAE" w:rsidRPr="004B6CD8">
        <w:rPr>
          <w:rFonts w:eastAsia="Calibri"/>
          <w:noProof/>
          <w:lang w:eastAsia="zh-CN"/>
        </w:rPr>
        <w:t>.</w:t>
      </w:r>
    </w:p>
    <w:p w14:paraId="5BEA8ACC" w14:textId="77777777" w:rsidR="000B5731" w:rsidRDefault="000B5731">
      <w:pPr>
        <w:spacing w:before="0" w:after="160"/>
        <w:rPr>
          <w:rFonts w:eastAsia="Calibri" w:cs="Tunga"/>
          <w:noProof/>
          <w:kern w:val="0"/>
          <w:szCs w:val="20"/>
          <w:lang w:val="en-GB" w:eastAsia="zh-CN"/>
          <w14:ligatures w14:val="none"/>
        </w:rPr>
      </w:pPr>
      <w:r w:rsidRPr="00127BC0">
        <w:rPr>
          <w:rFonts w:eastAsia="Calibri"/>
          <w:noProof/>
          <w:lang w:val="en-US" w:eastAsia="zh-CN"/>
        </w:rPr>
        <w:br w:type="page"/>
      </w:r>
    </w:p>
    <w:p w14:paraId="7CC50002" w14:textId="3A8C5721" w:rsidR="00B70B7D" w:rsidRPr="004B6CD8" w:rsidRDefault="002E050A" w:rsidP="003079ED">
      <w:pPr>
        <w:jc w:val="both"/>
        <w:rPr>
          <w:b/>
          <w:noProof/>
          <w:color w:val="003399" w:themeColor="text2"/>
          <w:lang w:val="en-GB"/>
        </w:rPr>
      </w:pPr>
      <w:r w:rsidRPr="004B6CD8">
        <w:rPr>
          <w:rFonts w:eastAsia="Calibri"/>
          <w:b/>
          <w:bCs/>
          <w:noProof/>
          <w:color w:val="003399" w:themeColor="text2"/>
          <w:lang w:val="en-GB"/>
        </w:rPr>
        <w:t>Follow-up performed in DG EMPL</w:t>
      </w:r>
    </w:p>
    <w:p w14:paraId="661C8E76" w14:textId="53A8B721" w:rsidR="002E050A" w:rsidRPr="004B6CD8" w:rsidRDefault="002E050A" w:rsidP="002E050A">
      <w:pPr>
        <w:jc w:val="both"/>
        <w:rPr>
          <w:noProof/>
          <w:lang w:val="en-GB"/>
        </w:rPr>
      </w:pPr>
      <w:r w:rsidRPr="004B6CD8">
        <w:rPr>
          <w:noProof/>
          <w:lang w:val="en-GB"/>
        </w:rPr>
        <w:t>Based on the results of the follow-up audit, the IAS concluded that the following recommendation was adequately and effectively implemented:</w:t>
      </w:r>
    </w:p>
    <w:p w14:paraId="5B468CAD" w14:textId="38C61A0F" w:rsidR="002E050A" w:rsidRPr="004B6CD8" w:rsidRDefault="002E050A" w:rsidP="002E050A">
      <w:pPr>
        <w:pStyle w:val="amprLISTtealbullets-L1"/>
        <w:rPr>
          <w:noProof/>
          <w:lang w:eastAsia="zh-CN"/>
        </w:rPr>
      </w:pPr>
      <w:r w:rsidRPr="004B6CD8">
        <w:rPr>
          <w:rFonts w:eastAsia="Calibri"/>
          <w:noProof/>
        </w:rPr>
        <w:t>Recommendation</w:t>
      </w:r>
      <w:r w:rsidRPr="004B6CD8">
        <w:rPr>
          <w:noProof/>
          <w:lang w:eastAsia="zh-CN"/>
        </w:rPr>
        <w:t xml:space="preserve"> No 7 (very important): analysis and (internal) reporting of the root causes of errors in relation to </w:t>
      </w:r>
      <w:r w:rsidR="00933C95" w:rsidRPr="004B6CD8">
        <w:rPr>
          <w:noProof/>
          <w:lang w:eastAsia="zh-CN"/>
        </w:rPr>
        <w:t>European Court of Auditors’</w:t>
      </w:r>
      <w:r w:rsidRPr="004B6CD8">
        <w:rPr>
          <w:noProof/>
          <w:lang w:eastAsia="zh-CN"/>
        </w:rPr>
        <w:t xml:space="preserve"> findings</w:t>
      </w:r>
      <w:r w:rsidR="00664EAE" w:rsidRPr="004B6CD8">
        <w:rPr>
          <w:noProof/>
          <w:lang w:eastAsia="zh-CN"/>
        </w:rPr>
        <w:t>.</w:t>
      </w:r>
    </w:p>
    <w:p w14:paraId="2FFDEEA2" w14:textId="36F625C6" w:rsidR="002E050A" w:rsidRPr="004B6CD8" w:rsidRDefault="002E050A" w:rsidP="002E050A">
      <w:pPr>
        <w:jc w:val="both"/>
        <w:rPr>
          <w:rFonts w:eastAsia="Calibri"/>
          <w:b/>
          <w:bCs/>
          <w:noProof/>
          <w:color w:val="003399" w:themeColor="text2"/>
          <w:lang w:val="en-GB"/>
        </w:rPr>
      </w:pPr>
      <w:r w:rsidRPr="004B6CD8">
        <w:rPr>
          <w:rFonts w:eastAsia="Calibri"/>
          <w:b/>
          <w:bCs/>
          <w:noProof/>
          <w:color w:val="003399" w:themeColor="text2"/>
          <w:lang w:val="en-GB"/>
        </w:rPr>
        <w:t>Follow-up performed in DG ENEST</w:t>
      </w:r>
    </w:p>
    <w:p w14:paraId="4948F23A" w14:textId="20D3AE43" w:rsidR="002E050A" w:rsidRPr="004B6CD8" w:rsidRDefault="002E050A" w:rsidP="002E050A">
      <w:pPr>
        <w:jc w:val="both"/>
        <w:rPr>
          <w:noProof/>
          <w:lang w:val="en-GB" w:eastAsia="zh-CN"/>
        </w:rPr>
      </w:pPr>
      <w:r w:rsidRPr="004B6CD8">
        <w:rPr>
          <w:noProof/>
          <w:lang w:val="en-GB" w:eastAsia="zh-CN"/>
        </w:rPr>
        <w:t>Based on the results of the follow-up audit, the IAS concluded that the following recommendation was adequately and effectively implemented:</w:t>
      </w:r>
    </w:p>
    <w:p w14:paraId="6B0FB9DA" w14:textId="5E4599A1" w:rsidR="002E050A" w:rsidRPr="004B6CD8" w:rsidRDefault="002E050A" w:rsidP="002E050A">
      <w:pPr>
        <w:pStyle w:val="amprLISTtealbullets-L1"/>
        <w:rPr>
          <w:noProof/>
          <w:lang w:eastAsia="zh-CN"/>
        </w:rPr>
      </w:pPr>
      <w:r w:rsidRPr="004B6CD8">
        <w:rPr>
          <w:rFonts w:eastAsia="Calibri"/>
          <w:noProof/>
        </w:rPr>
        <w:t>Recommendation</w:t>
      </w:r>
      <w:r w:rsidRPr="004B6CD8">
        <w:rPr>
          <w:noProof/>
          <w:lang w:eastAsia="zh-CN"/>
        </w:rPr>
        <w:t xml:space="preserve"> No 2 (very important): analysis and (internal) reporting of the root causes of errors in relation with the European Court of Auditor’s findings</w:t>
      </w:r>
      <w:r w:rsidR="00114C2B" w:rsidRPr="004B6CD8">
        <w:rPr>
          <w:noProof/>
          <w:lang w:eastAsia="zh-CN"/>
        </w:rPr>
        <w:t>.</w:t>
      </w:r>
    </w:p>
    <w:p w14:paraId="3BB887DB" w14:textId="45AB2766" w:rsidR="002E050A" w:rsidRPr="004B6CD8" w:rsidRDefault="002E050A" w:rsidP="002E050A">
      <w:pPr>
        <w:jc w:val="both"/>
        <w:rPr>
          <w:rFonts w:eastAsia="Calibri"/>
          <w:b/>
          <w:bCs/>
          <w:noProof/>
          <w:color w:val="003399" w:themeColor="text2"/>
          <w:lang w:val="en-GB"/>
        </w:rPr>
      </w:pPr>
      <w:r w:rsidRPr="004B6CD8">
        <w:rPr>
          <w:rFonts w:eastAsia="Calibri"/>
          <w:b/>
          <w:bCs/>
          <w:noProof/>
          <w:color w:val="003399" w:themeColor="text2"/>
          <w:lang w:val="en-GB"/>
        </w:rPr>
        <w:t>Follow-up performed in DG INTPA</w:t>
      </w:r>
    </w:p>
    <w:p w14:paraId="6A9F4659" w14:textId="724189F3" w:rsidR="002E050A" w:rsidRPr="004B6CD8" w:rsidRDefault="002E050A" w:rsidP="002E050A">
      <w:pPr>
        <w:jc w:val="both"/>
        <w:rPr>
          <w:noProof/>
          <w:lang w:val="en-GB" w:eastAsia="zh-CN"/>
        </w:rPr>
      </w:pPr>
      <w:r w:rsidRPr="004B6CD8">
        <w:rPr>
          <w:noProof/>
          <w:lang w:val="en-GB" w:eastAsia="zh-CN"/>
        </w:rPr>
        <w:t xml:space="preserve">Based on the results of </w:t>
      </w:r>
      <w:r w:rsidRPr="004B6CD8">
        <w:rPr>
          <w:noProof/>
          <w:lang w:val="en-GB"/>
        </w:rPr>
        <w:t>the</w:t>
      </w:r>
      <w:r w:rsidRPr="004B6CD8">
        <w:rPr>
          <w:noProof/>
          <w:lang w:val="en-GB" w:eastAsia="zh-CN"/>
        </w:rPr>
        <w:t xml:space="preserve"> follow-up audit, the IAS concluded that the following recommendation was adequately and effectively implemented:</w:t>
      </w:r>
    </w:p>
    <w:p w14:paraId="6845E6E2" w14:textId="2F239207" w:rsidR="002E050A" w:rsidRPr="004B6CD8" w:rsidRDefault="002E050A" w:rsidP="002D4871">
      <w:pPr>
        <w:pStyle w:val="amprLISTtealbullets-L1"/>
        <w:rPr>
          <w:rFonts w:eastAsiaTheme="minorHAnsi"/>
          <w:noProof/>
          <w:lang w:eastAsia="zh-CN"/>
        </w:rPr>
      </w:pPr>
      <w:r w:rsidRPr="004B6CD8">
        <w:rPr>
          <w:rFonts w:eastAsiaTheme="minorHAnsi"/>
          <w:noProof/>
          <w:lang w:eastAsia="zh-CN"/>
        </w:rPr>
        <w:t>Recommendation No 1 (very important): analysis and (internal) reporting of the root causes of errors in relation with the European Court of Auditor’s findings</w:t>
      </w:r>
      <w:r w:rsidR="00114C2B" w:rsidRPr="004B6CD8">
        <w:rPr>
          <w:rFonts w:eastAsiaTheme="minorHAnsi"/>
          <w:noProof/>
          <w:lang w:eastAsia="zh-CN"/>
        </w:rPr>
        <w:t>.</w:t>
      </w:r>
    </w:p>
    <w:p w14:paraId="3140AF95" w14:textId="03E76AD1" w:rsidR="002E050A" w:rsidRPr="004B6CD8" w:rsidRDefault="002E050A" w:rsidP="002E050A">
      <w:pPr>
        <w:jc w:val="both"/>
        <w:rPr>
          <w:rFonts w:eastAsia="Calibri"/>
          <w:b/>
          <w:bCs/>
          <w:noProof/>
          <w:color w:val="003399" w:themeColor="text2"/>
          <w:lang w:val="en-GB"/>
        </w:rPr>
      </w:pPr>
      <w:r w:rsidRPr="004B6CD8">
        <w:rPr>
          <w:rFonts w:eastAsia="Calibri"/>
          <w:b/>
          <w:bCs/>
          <w:noProof/>
          <w:color w:val="003399" w:themeColor="text2"/>
          <w:lang w:val="en-GB"/>
        </w:rPr>
        <w:t>Follow-up performed in DG REGIO</w:t>
      </w:r>
    </w:p>
    <w:p w14:paraId="213A29EB" w14:textId="5892877C" w:rsidR="002E050A" w:rsidRPr="004B6CD8" w:rsidRDefault="002E050A" w:rsidP="002E050A">
      <w:pPr>
        <w:jc w:val="both"/>
        <w:rPr>
          <w:noProof/>
          <w:lang w:val="en-GB" w:eastAsia="zh-CN"/>
        </w:rPr>
      </w:pPr>
      <w:r w:rsidRPr="004B6CD8">
        <w:rPr>
          <w:noProof/>
          <w:lang w:val="en-GB" w:eastAsia="zh-CN"/>
        </w:rPr>
        <w:t>Based on the results of the follow-up audit, the IAS concluded that the following recommendation was adequately and effectively implemented:</w:t>
      </w:r>
    </w:p>
    <w:p w14:paraId="4EFF921C" w14:textId="02A5D689" w:rsidR="00B70B7D" w:rsidRPr="004B6CD8" w:rsidRDefault="002E050A" w:rsidP="003079ED">
      <w:pPr>
        <w:pStyle w:val="amprLISTtealbullets-L1"/>
        <w:rPr>
          <w:noProof/>
        </w:rPr>
      </w:pPr>
      <w:r w:rsidRPr="004B6CD8">
        <w:rPr>
          <w:rFonts w:eastAsiaTheme="minorHAnsi"/>
          <w:noProof/>
          <w:lang w:eastAsia="zh-CN"/>
        </w:rPr>
        <w:t>Recommendation</w:t>
      </w:r>
      <w:r w:rsidRPr="004B6CD8">
        <w:rPr>
          <w:noProof/>
          <w:lang w:eastAsia="zh-CN"/>
        </w:rPr>
        <w:t xml:space="preserve"> No 8 (very important): analysis and (internal) reporting of the root causes of errors in relation with the European Court of Auditor’s findings</w:t>
      </w:r>
      <w:r w:rsidR="00114C2B" w:rsidRPr="004B6CD8">
        <w:rPr>
          <w:noProof/>
          <w:lang w:eastAsia="zh-CN"/>
        </w:rPr>
        <w:t>.</w:t>
      </w:r>
    </w:p>
    <w:p w14:paraId="50E535F3" w14:textId="6641DE49" w:rsidR="00B70B7D" w:rsidRPr="004B6CD8" w:rsidRDefault="0057062A" w:rsidP="00B70B7D">
      <w:pPr>
        <w:pStyle w:val="amprH3Title2-Numbered-11"/>
        <w:rPr>
          <w:noProof/>
        </w:rPr>
      </w:pPr>
      <w:bookmarkStart w:id="132" w:name="_Toc231235468"/>
      <w:r w:rsidRPr="004B6CD8">
        <w:rPr>
          <w:noProof/>
        </w:rPr>
        <w:t xml:space="preserve">Audit on </w:t>
      </w:r>
      <w:bookmarkEnd w:id="129"/>
      <w:r w:rsidR="002D4871" w:rsidRPr="004B6CD8">
        <w:rPr>
          <w:noProof/>
        </w:rPr>
        <w:t xml:space="preserve">the External Investment Plan </w:t>
      </w:r>
      <w:r w:rsidR="00114C2B" w:rsidRPr="004B6CD8">
        <w:rPr>
          <w:noProof/>
        </w:rPr>
        <w:t>–</w:t>
      </w:r>
      <w:r w:rsidR="002D4871" w:rsidRPr="004B6CD8">
        <w:rPr>
          <w:noProof/>
        </w:rPr>
        <w:t xml:space="preserve"> </w:t>
      </w:r>
      <w:r w:rsidR="00114C2B" w:rsidRPr="004B6CD8">
        <w:rPr>
          <w:noProof/>
        </w:rPr>
        <w:t xml:space="preserve">European </w:t>
      </w:r>
      <w:r w:rsidR="00092754" w:rsidRPr="004B6CD8">
        <w:rPr>
          <w:noProof/>
        </w:rPr>
        <w:t>F</w:t>
      </w:r>
      <w:r w:rsidR="00114C2B" w:rsidRPr="004B6CD8">
        <w:rPr>
          <w:noProof/>
        </w:rPr>
        <w:t xml:space="preserve">und for </w:t>
      </w:r>
      <w:r w:rsidR="00092754" w:rsidRPr="004B6CD8">
        <w:rPr>
          <w:noProof/>
        </w:rPr>
        <w:t>S</w:t>
      </w:r>
      <w:r w:rsidR="00114C2B" w:rsidRPr="004B6CD8">
        <w:rPr>
          <w:noProof/>
        </w:rPr>
        <w:t>ustainable Development (</w:t>
      </w:r>
      <w:r w:rsidR="002D4871" w:rsidRPr="004B6CD8">
        <w:rPr>
          <w:noProof/>
        </w:rPr>
        <w:t>EFSD</w:t>
      </w:r>
      <w:r w:rsidR="00114C2B" w:rsidRPr="004B6CD8">
        <w:rPr>
          <w:noProof/>
        </w:rPr>
        <w:t>)</w:t>
      </w:r>
      <w:r w:rsidR="002D4871" w:rsidRPr="004B6CD8">
        <w:rPr>
          <w:noProof/>
        </w:rPr>
        <w:t xml:space="preserve"> Guarantee in DG INTPA and DG NEAR</w:t>
      </w:r>
      <w:bookmarkEnd w:id="132"/>
    </w:p>
    <w:p w14:paraId="612C36DC" w14:textId="6ACBC88A" w:rsidR="00B70B7D" w:rsidRPr="004B6CD8" w:rsidRDefault="00B70B7D" w:rsidP="00B70B7D">
      <w:pPr>
        <w:jc w:val="both"/>
        <w:rPr>
          <w:rFonts w:eastAsia="Calibri"/>
          <w:b/>
          <w:bCs/>
          <w:noProof/>
          <w:color w:val="003399" w:themeColor="text2"/>
          <w:lang w:val="en-GB"/>
        </w:rPr>
      </w:pPr>
      <w:r w:rsidRPr="004B6CD8">
        <w:rPr>
          <w:rFonts w:eastAsia="Calibri"/>
          <w:b/>
          <w:bCs/>
          <w:noProof/>
          <w:color w:val="003399" w:themeColor="text2"/>
          <w:lang w:val="en-GB"/>
        </w:rPr>
        <w:t xml:space="preserve">Follow-up performed in DG </w:t>
      </w:r>
      <w:r w:rsidR="002D4871" w:rsidRPr="004B6CD8">
        <w:rPr>
          <w:rFonts w:eastAsia="Calibri"/>
          <w:b/>
          <w:bCs/>
          <w:noProof/>
          <w:color w:val="003399" w:themeColor="text2"/>
          <w:lang w:val="en-GB"/>
        </w:rPr>
        <w:t>INTPA</w:t>
      </w:r>
    </w:p>
    <w:p w14:paraId="7841742E" w14:textId="77777777" w:rsidR="00B70B7D" w:rsidRPr="004B6CD8" w:rsidRDefault="00B70B7D" w:rsidP="00B70B7D">
      <w:pPr>
        <w:jc w:val="both"/>
        <w:rPr>
          <w:rFonts w:eastAsia="Calibri" w:cs="Tunga"/>
          <w:noProof/>
          <w:szCs w:val="20"/>
          <w:lang w:val="en-GB"/>
        </w:rPr>
      </w:pPr>
      <w:r w:rsidRPr="004B6CD8">
        <w:rPr>
          <w:rFonts w:eastAsia="Calibri" w:cs="Tunga"/>
          <w:noProof/>
          <w:szCs w:val="20"/>
          <w:lang w:val="en-GB"/>
        </w:rPr>
        <w:t>Based on the results of the follow-up audit, the IAS concluded that the following recommendation was adequately and effectively implemented:</w:t>
      </w:r>
    </w:p>
    <w:p w14:paraId="2075DF39" w14:textId="0F7536B4" w:rsidR="002D4871" w:rsidRPr="004B6CD8" w:rsidRDefault="00B70B7D" w:rsidP="00B70B7D">
      <w:pPr>
        <w:pStyle w:val="amprLISTtealbullets-L1"/>
        <w:rPr>
          <w:rFonts w:eastAsia="Calibri"/>
          <w:noProof/>
        </w:rPr>
      </w:pPr>
      <w:r w:rsidRPr="004B6CD8">
        <w:rPr>
          <w:noProof/>
          <w:lang w:eastAsia="zh-CN"/>
        </w:rPr>
        <w:t>Recommendation</w:t>
      </w:r>
      <w:r w:rsidRPr="004B6CD8">
        <w:rPr>
          <w:rFonts w:eastAsia="Calibri"/>
          <w:noProof/>
        </w:rPr>
        <w:t xml:space="preserve"> No </w:t>
      </w:r>
      <w:r w:rsidR="002D4871" w:rsidRPr="004B6CD8">
        <w:rPr>
          <w:rFonts w:eastAsia="Calibri"/>
          <w:noProof/>
        </w:rPr>
        <w:t>2</w:t>
      </w:r>
      <w:r w:rsidRPr="004B6CD8">
        <w:rPr>
          <w:rFonts w:eastAsia="Calibri"/>
          <w:noProof/>
        </w:rPr>
        <w:t xml:space="preserve"> (</w:t>
      </w:r>
      <w:r w:rsidR="002D4871" w:rsidRPr="004B6CD8">
        <w:rPr>
          <w:rFonts w:eastAsia="Calibri"/>
          <w:noProof/>
        </w:rPr>
        <w:t xml:space="preserve">very </w:t>
      </w:r>
      <w:r w:rsidRPr="004B6CD8">
        <w:rPr>
          <w:rFonts w:eastAsia="Calibri"/>
          <w:noProof/>
        </w:rPr>
        <w:t xml:space="preserve">important): </w:t>
      </w:r>
      <w:r w:rsidR="002D4871" w:rsidRPr="004B6CD8">
        <w:rPr>
          <w:rFonts w:eastAsia="Calibri"/>
          <w:noProof/>
        </w:rPr>
        <w:t>assurance building</w:t>
      </w:r>
      <w:r w:rsidR="00114C2B" w:rsidRPr="004B6CD8">
        <w:rPr>
          <w:rFonts w:eastAsia="Calibri"/>
          <w:noProof/>
        </w:rPr>
        <w:t>.</w:t>
      </w:r>
    </w:p>
    <w:p w14:paraId="53171E3E" w14:textId="2A3D6FD3" w:rsidR="00B70B7D" w:rsidRPr="004B6CD8" w:rsidRDefault="00B70B7D" w:rsidP="002D4871">
      <w:pPr>
        <w:jc w:val="both"/>
        <w:rPr>
          <w:rFonts w:eastAsia="Calibri" w:cs="Tunga"/>
          <w:noProof/>
          <w:szCs w:val="20"/>
          <w:lang w:val="en-GB"/>
        </w:rPr>
      </w:pPr>
      <w:r w:rsidRPr="004B6CD8">
        <w:rPr>
          <w:rFonts w:eastAsia="Calibri" w:cs="Tunga"/>
          <w:noProof/>
          <w:szCs w:val="20"/>
          <w:lang w:val="en-GB"/>
        </w:rPr>
        <w:t>Based on the results of the follow-up audit, the IAS concluded that the following recommendations w</w:t>
      </w:r>
      <w:r w:rsidR="002D4871" w:rsidRPr="004B6CD8">
        <w:rPr>
          <w:rFonts w:eastAsia="Calibri" w:cs="Tunga"/>
          <w:noProof/>
          <w:szCs w:val="20"/>
          <w:lang w:val="en-GB"/>
        </w:rPr>
        <w:t>as not</w:t>
      </w:r>
      <w:r w:rsidRPr="004B6CD8">
        <w:rPr>
          <w:rFonts w:eastAsia="Calibri" w:cs="Tunga"/>
          <w:noProof/>
          <w:szCs w:val="20"/>
          <w:lang w:val="en-GB"/>
        </w:rPr>
        <w:t xml:space="preserve"> adequately and effectively implemented</w:t>
      </w:r>
      <w:r w:rsidR="002D4871" w:rsidRPr="004B6CD8">
        <w:rPr>
          <w:rFonts w:eastAsia="Calibri" w:cs="Tunga"/>
          <w:noProof/>
          <w:szCs w:val="20"/>
          <w:lang w:val="en-GB"/>
        </w:rPr>
        <w:t xml:space="preserve"> and reopened</w:t>
      </w:r>
      <w:r w:rsidRPr="004B6CD8">
        <w:rPr>
          <w:rFonts w:eastAsia="Calibri" w:cs="Tunga"/>
          <w:noProof/>
          <w:szCs w:val="20"/>
          <w:lang w:val="en-GB"/>
        </w:rPr>
        <w:t>:</w:t>
      </w:r>
    </w:p>
    <w:p w14:paraId="117210FF" w14:textId="54218EBA" w:rsidR="000B5731" w:rsidRDefault="00B70B7D" w:rsidP="00B70B7D">
      <w:pPr>
        <w:pStyle w:val="amprLISTtealbullets-L1"/>
        <w:rPr>
          <w:rFonts w:eastAsia="Calibri"/>
          <w:noProof/>
        </w:rPr>
      </w:pPr>
      <w:r w:rsidRPr="004B6CD8">
        <w:rPr>
          <w:rFonts w:eastAsia="Calibri"/>
          <w:noProof/>
        </w:rPr>
        <w:t xml:space="preserve">Recommendation No </w:t>
      </w:r>
      <w:r w:rsidR="002D4871" w:rsidRPr="004B6CD8">
        <w:rPr>
          <w:rFonts w:eastAsia="Calibri"/>
          <w:noProof/>
        </w:rPr>
        <w:t>4</w:t>
      </w:r>
      <w:r w:rsidRPr="004B6CD8">
        <w:rPr>
          <w:rFonts w:eastAsia="Calibri"/>
          <w:noProof/>
        </w:rPr>
        <w:t xml:space="preserve"> (important): </w:t>
      </w:r>
      <w:r w:rsidR="002D4871" w:rsidRPr="004B6CD8">
        <w:rPr>
          <w:rFonts w:eastAsia="Calibri"/>
          <w:noProof/>
        </w:rPr>
        <w:t>guarantee agreement clauses</w:t>
      </w:r>
      <w:r w:rsidR="00114C2B" w:rsidRPr="004B6CD8">
        <w:rPr>
          <w:rFonts w:eastAsia="Calibri"/>
          <w:noProof/>
        </w:rPr>
        <w:t>.</w:t>
      </w:r>
    </w:p>
    <w:p w14:paraId="266D4E36" w14:textId="77777777" w:rsidR="000B5731" w:rsidRDefault="000B5731">
      <w:pPr>
        <w:spacing w:before="0" w:after="160"/>
        <w:rPr>
          <w:rFonts w:eastAsia="Calibri" w:cs="Tunga"/>
          <w:noProof/>
          <w:kern w:val="0"/>
          <w:szCs w:val="20"/>
          <w:lang w:val="en-GB" w:eastAsia="en-GB"/>
          <w14:ligatures w14:val="none"/>
        </w:rPr>
      </w:pPr>
      <w:r w:rsidRPr="00FC2E84">
        <w:rPr>
          <w:rFonts w:eastAsia="Calibri"/>
          <w:noProof/>
          <w:lang w:val="en-IE"/>
        </w:rPr>
        <w:br w:type="page"/>
      </w:r>
    </w:p>
    <w:p w14:paraId="6B133E7A" w14:textId="5EA0628F" w:rsidR="00B70B7D" w:rsidRPr="004B6CD8" w:rsidRDefault="0057062A" w:rsidP="00B70B7D">
      <w:pPr>
        <w:pStyle w:val="amprH3Title2-Numbered-11"/>
        <w:rPr>
          <w:rFonts w:eastAsia="Calibri"/>
          <w:bCs/>
          <w:noProof/>
        </w:rPr>
      </w:pPr>
      <w:bookmarkStart w:id="133" w:name="_Toc196835232"/>
      <w:bookmarkStart w:id="134" w:name="_Toc231235469"/>
      <w:r w:rsidRPr="004B6CD8">
        <w:rPr>
          <w:noProof/>
        </w:rPr>
        <w:t xml:space="preserve">Audit </w:t>
      </w:r>
      <w:bookmarkEnd w:id="133"/>
      <w:r w:rsidR="00B70B7D" w:rsidRPr="004B6CD8">
        <w:rPr>
          <w:noProof/>
        </w:rPr>
        <w:t xml:space="preserve">on </w:t>
      </w:r>
      <w:r w:rsidR="00EA6D2B" w:rsidRPr="004B6CD8">
        <w:rPr>
          <w:noProof/>
        </w:rPr>
        <w:t>Intervention-level evaluations in FPI, former DG NEAR and DG INTPA</w:t>
      </w:r>
      <w:bookmarkEnd w:id="134"/>
    </w:p>
    <w:p w14:paraId="6E5143D0" w14:textId="49F1F0EC" w:rsidR="00C97608" w:rsidRPr="004B6CD8" w:rsidRDefault="00C97608" w:rsidP="00B70B7D">
      <w:pPr>
        <w:jc w:val="both"/>
        <w:rPr>
          <w:rFonts w:eastAsia="Calibri" w:cs="Tunga"/>
          <w:b/>
          <w:bCs/>
          <w:noProof/>
          <w:color w:val="003399" w:themeColor="text2"/>
          <w:szCs w:val="20"/>
          <w:lang w:val="en-GB"/>
        </w:rPr>
      </w:pPr>
      <w:r w:rsidRPr="004B6CD8">
        <w:rPr>
          <w:rFonts w:eastAsia="Calibri" w:cs="Tunga"/>
          <w:b/>
          <w:bCs/>
          <w:noProof/>
          <w:color w:val="003399" w:themeColor="text2"/>
          <w:szCs w:val="20"/>
          <w:lang w:val="en-GB"/>
        </w:rPr>
        <w:t xml:space="preserve">Follow-up performed in </w:t>
      </w:r>
      <w:r w:rsidR="0063072D" w:rsidRPr="004B6CD8">
        <w:rPr>
          <w:rFonts w:eastAsia="Calibri" w:cs="Tunga"/>
          <w:b/>
          <w:bCs/>
          <w:noProof/>
          <w:color w:val="003399" w:themeColor="text2"/>
          <w:szCs w:val="20"/>
          <w:lang w:val="en-GB"/>
        </w:rPr>
        <w:t>ENEST</w:t>
      </w:r>
    </w:p>
    <w:p w14:paraId="2BBE361E" w14:textId="0236DE9A" w:rsidR="00B70B7D" w:rsidRPr="004B6CD8" w:rsidRDefault="00B70B7D" w:rsidP="00B70B7D">
      <w:pPr>
        <w:jc w:val="both"/>
        <w:rPr>
          <w:rFonts w:eastAsia="Calibri" w:cs="Tunga"/>
          <w:noProof/>
          <w:szCs w:val="20"/>
          <w:lang w:val="en-GB"/>
        </w:rPr>
      </w:pPr>
      <w:r w:rsidRPr="004B6CD8">
        <w:rPr>
          <w:rFonts w:eastAsia="Calibri" w:cs="Tunga"/>
          <w:noProof/>
          <w:szCs w:val="20"/>
          <w:lang w:val="en-GB"/>
        </w:rPr>
        <w:t xml:space="preserve">Based on the results of the follow-up audit, the IAS concluded that the following recommendation was </w:t>
      </w:r>
      <w:r w:rsidR="00EA6D2B" w:rsidRPr="004B6CD8">
        <w:rPr>
          <w:rFonts w:eastAsia="Calibri" w:cs="Tunga"/>
          <w:noProof/>
          <w:szCs w:val="20"/>
          <w:lang w:val="en-GB"/>
        </w:rPr>
        <w:t xml:space="preserve">not </w:t>
      </w:r>
      <w:r w:rsidRPr="004B6CD8">
        <w:rPr>
          <w:rFonts w:eastAsia="Calibri" w:cs="Tunga"/>
          <w:noProof/>
          <w:szCs w:val="20"/>
          <w:lang w:val="en-GB"/>
        </w:rPr>
        <w:t>adequately and effectively implemented</w:t>
      </w:r>
      <w:r w:rsidR="00EA6D2B" w:rsidRPr="004B6CD8">
        <w:rPr>
          <w:rFonts w:eastAsia="Calibri" w:cs="Tunga"/>
          <w:noProof/>
          <w:szCs w:val="20"/>
          <w:lang w:val="en-GB"/>
        </w:rPr>
        <w:t xml:space="preserve"> and reopened</w:t>
      </w:r>
      <w:r w:rsidRPr="004B6CD8">
        <w:rPr>
          <w:rFonts w:eastAsia="Calibri" w:cs="Tunga"/>
          <w:noProof/>
          <w:szCs w:val="20"/>
          <w:lang w:val="en-GB"/>
        </w:rPr>
        <w:t>:</w:t>
      </w:r>
    </w:p>
    <w:p w14:paraId="072B8382" w14:textId="78B32A2D" w:rsidR="00EA6D2B" w:rsidRPr="004B6CD8" w:rsidRDefault="00EA6D2B" w:rsidP="00EA6D2B">
      <w:pPr>
        <w:pStyle w:val="amprLISTtealbullets-L1"/>
        <w:rPr>
          <w:rFonts w:eastAsia="Calibri"/>
          <w:noProof/>
        </w:rPr>
      </w:pPr>
      <w:r w:rsidRPr="004B6CD8">
        <w:rPr>
          <w:rFonts w:eastAsia="EC Square Sans Pro"/>
          <w:noProof/>
        </w:rPr>
        <w:t>Recommendation</w:t>
      </w:r>
      <w:r w:rsidRPr="004B6CD8">
        <w:rPr>
          <w:rFonts w:eastAsia="Calibri"/>
          <w:noProof/>
        </w:rPr>
        <w:t xml:space="preserve"> No </w:t>
      </w:r>
      <w:r w:rsidR="0063072D" w:rsidRPr="004B6CD8">
        <w:rPr>
          <w:rFonts w:eastAsia="Calibri"/>
          <w:noProof/>
        </w:rPr>
        <w:t xml:space="preserve">11 </w:t>
      </w:r>
      <w:r w:rsidRPr="004B6CD8">
        <w:rPr>
          <w:rFonts w:eastAsia="Calibri"/>
          <w:noProof/>
        </w:rPr>
        <w:t xml:space="preserve">(very important): </w:t>
      </w:r>
      <w:r w:rsidR="0063072D" w:rsidRPr="004B6CD8">
        <w:rPr>
          <w:rFonts w:eastAsia="Calibri"/>
          <w:noProof/>
        </w:rPr>
        <w:t>implementation of the evaluation process</w:t>
      </w:r>
      <w:r w:rsidR="00E73312" w:rsidRPr="004B6CD8">
        <w:rPr>
          <w:rFonts w:eastAsia="Calibri"/>
          <w:noProof/>
        </w:rPr>
        <w:t>.</w:t>
      </w:r>
    </w:p>
    <w:p w14:paraId="7D65295B" w14:textId="4668EFF8" w:rsidR="00EA6D2B" w:rsidRPr="004B6CD8" w:rsidRDefault="00EA6D2B" w:rsidP="00EA6D2B">
      <w:pPr>
        <w:jc w:val="both"/>
        <w:rPr>
          <w:b/>
          <w:noProof/>
          <w:color w:val="003399" w:themeColor="text2"/>
          <w:lang w:val="en-GB"/>
        </w:rPr>
      </w:pPr>
      <w:r w:rsidRPr="004B6CD8">
        <w:rPr>
          <w:b/>
          <w:noProof/>
          <w:color w:val="003399" w:themeColor="text2"/>
          <w:lang w:val="en-GB"/>
        </w:rPr>
        <w:t xml:space="preserve">Follow-up performed in </w:t>
      </w:r>
      <w:r w:rsidR="0063072D" w:rsidRPr="004B6CD8">
        <w:rPr>
          <w:b/>
          <w:noProof/>
          <w:color w:val="003399" w:themeColor="text2"/>
          <w:lang w:val="en-GB"/>
        </w:rPr>
        <w:t>FPI</w:t>
      </w:r>
    </w:p>
    <w:p w14:paraId="7C2B2FC2" w14:textId="70F7208B" w:rsidR="00EA6D2B" w:rsidRPr="004B6CD8" w:rsidRDefault="00EA6D2B" w:rsidP="00EA6D2B">
      <w:pPr>
        <w:jc w:val="both"/>
        <w:rPr>
          <w:noProof/>
          <w:lang w:val="en-GB"/>
        </w:rPr>
      </w:pPr>
      <w:r w:rsidRPr="004B6CD8">
        <w:rPr>
          <w:noProof/>
          <w:lang w:val="en-GB"/>
        </w:rPr>
        <w:t xml:space="preserve">Based on the results of the follow-up audit, the IAS concluded that the following recommendation was </w:t>
      </w:r>
      <w:r w:rsidRPr="004B6CD8">
        <w:rPr>
          <w:rFonts w:eastAsia="Calibri" w:cs="Tunga"/>
          <w:noProof/>
          <w:szCs w:val="20"/>
          <w:lang w:val="en-GB"/>
        </w:rPr>
        <w:t xml:space="preserve">not </w:t>
      </w:r>
      <w:r w:rsidRPr="004B6CD8">
        <w:rPr>
          <w:noProof/>
          <w:lang w:val="en-GB"/>
        </w:rPr>
        <w:t>adequately and effectively implemented</w:t>
      </w:r>
      <w:r w:rsidRPr="004B6CD8">
        <w:rPr>
          <w:rFonts w:eastAsia="Calibri" w:cs="Tunga"/>
          <w:noProof/>
          <w:szCs w:val="20"/>
          <w:lang w:val="en-GB"/>
        </w:rPr>
        <w:t xml:space="preserve"> and reopened</w:t>
      </w:r>
      <w:r w:rsidRPr="004B6CD8">
        <w:rPr>
          <w:noProof/>
          <w:lang w:val="en-GB"/>
        </w:rPr>
        <w:t>:</w:t>
      </w:r>
    </w:p>
    <w:p w14:paraId="4B5A9145" w14:textId="0C65F055" w:rsidR="00EA6D2B" w:rsidRPr="004B6CD8" w:rsidRDefault="00EA6D2B" w:rsidP="00EA6D2B">
      <w:pPr>
        <w:pStyle w:val="amprLISTtealbullets-L1"/>
        <w:rPr>
          <w:rFonts w:eastAsia="Calibri"/>
          <w:noProof/>
        </w:rPr>
      </w:pPr>
      <w:r w:rsidRPr="004B6CD8">
        <w:rPr>
          <w:rFonts w:eastAsia="EC Square Sans Pro"/>
          <w:noProof/>
        </w:rPr>
        <w:t>Recommendation</w:t>
      </w:r>
      <w:r w:rsidRPr="004B6CD8">
        <w:rPr>
          <w:rFonts w:eastAsia="Calibri"/>
          <w:noProof/>
        </w:rPr>
        <w:t xml:space="preserve"> No </w:t>
      </w:r>
      <w:r w:rsidR="0063072D" w:rsidRPr="004B6CD8">
        <w:rPr>
          <w:rFonts w:eastAsia="Calibri"/>
          <w:noProof/>
        </w:rPr>
        <w:t xml:space="preserve">12 </w:t>
      </w:r>
      <w:r w:rsidRPr="004B6CD8">
        <w:rPr>
          <w:rFonts w:eastAsia="Calibri"/>
          <w:noProof/>
        </w:rPr>
        <w:t xml:space="preserve">(very important): </w:t>
      </w:r>
      <w:r w:rsidR="0063072D" w:rsidRPr="004B6CD8">
        <w:rPr>
          <w:rFonts w:eastAsia="Calibri"/>
          <w:noProof/>
        </w:rPr>
        <w:t>implementation of the evaluation process</w:t>
      </w:r>
      <w:r w:rsidR="00E73312" w:rsidRPr="004B6CD8">
        <w:rPr>
          <w:rFonts w:eastAsia="Calibri"/>
          <w:noProof/>
        </w:rPr>
        <w:t>.</w:t>
      </w:r>
    </w:p>
    <w:p w14:paraId="3AE6AC8D" w14:textId="77777777" w:rsidR="00EA6D2B" w:rsidRPr="004B6CD8" w:rsidRDefault="00EA6D2B" w:rsidP="00EA6D2B">
      <w:pPr>
        <w:jc w:val="both"/>
        <w:rPr>
          <w:rFonts w:eastAsia="Calibri" w:cs="Tunga"/>
          <w:b/>
          <w:bCs/>
          <w:noProof/>
          <w:color w:val="003399" w:themeColor="text2"/>
          <w:szCs w:val="20"/>
          <w:lang w:val="en-GB"/>
        </w:rPr>
      </w:pPr>
      <w:r w:rsidRPr="004B6CD8">
        <w:rPr>
          <w:rFonts w:eastAsia="Calibri" w:cs="Tunga"/>
          <w:b/>
          <w:bCs/>
          <w:noProof/>
          <w:color w:val="003399" w:themeColor="text2"/>
          <w:szCs w:val="20"/>
          <w:lang w:val="en-GB"/>
        </w:rPr>
        <w:t>Follow-up performed in DG INTPA</w:t>
      </w:r>
    </w:p>
    <w:p w14:paraId="3088DFAD" w14:textId="36D876C2" w:rsidR="00EA6D2B" w:rsidRPr="004B6CD8" w:rsidRDefault="00EA6D2B" w:rsidP="00EA6D2B">
      <w:pPr>
        <w:jc w:val="both"/>
        <w:rPr>
          <w:b/>
          <w:noProof/>
          <w:color w:val="003399" w:themeColor="text2"/>
          <w:lang w:val="en-GB"/>
        </w:rPr>
      </w:pPr>
      <w:r w:rsidRPr="004B6CD8">
        <w:rPr>
          <w:rFonts w:eastAsia="Calibri" w:cs="Tunga"/>
          <w:noProof/>
          <w:szCs w:val="20"/>
          <w:lang w:val="en-GB"/>
        </w:rPr>
        <w:t>Based on the results of the follow-up audit, the IAS concluded that the following recommendation was adequately and effectively implemented</w:t>
      </w:r>
      <w:r w:rsidRPr="004B6CD8">
        <w:rPr>
          <w:b/>
          <w:noProof/>
          <w:color w:val="003399" w:themeColor="text2"/>
          <w:lang w:val="en-GB"/>
        </w:rPr>
        <w:t>:</w:t>
      </w:r>
    </w:p>
    <w:p w14:paraId="035BC9C3" w14:textId="77777777" w:rsidR="00EA6D2B" w:rsidRPr="004B6CD8" w:rsidRDefault="00EA6D2B" w:rsidP="003079ED">
      <w:pPr>
        <w:pStyle w:val="amprLISTtealbullets-L1"/>
        <w:rPr>
          <w:rFonts w:eastAsia="Calibri"/>
          <w:noProof/>
        </w:rPr>
      </w:pPr>
      <w:r w:rsidRPr="004B6CD8">
        <w:rPr>
          <w:rFonts w:eastAsia="EC Square Sans Pro"/>
          <w:noProof/>
        </w:rPr>
        <w:t>Recommendation</w:t>
      </w:r>
      <w:r w:rsidRPr="004B6CD8">
        <w:rPr>
          <w:rFonts w:eastAsia="Calibri"/>
          <w:noProof/>
        </w:rPr>
        <w:t xml:space="preserve"> No </w:t>
      </w:r>
      <w:r w:rsidR="0063072D" w:rsidRPr="004B6CD8">
        <w:rPr>
          <w:rFonts w:eastAsia="Calibri"/>
          <w:noProof/>
        </w:rPr>
        <w:t xml:space="preserve">13 </w:t>
      </w:r>
      <w:r w:rsidRPr="004B6CD8">
        <w:rPr>
          <w:rFonts w:eastAsia="Calibri"/>
          <w:noProof/>
        </w:rPr>
        <w:t xml:space="preserve">(very important): </w:t>
      </w:r>
      <w:r w:rsidR="0063072D" w:rsidRPr="004B6CD8">
        <w:rPr>
          <w:rFonts w:eastAsia="Calibri"/>
          <w:noProof/>
        </w:rPr>
        <w:t>periodic review of the evaluation process</w:t>
      </w:r>
      <w:r w:rsidR="00E73312" w:rsidRPr="004B6CD8">
        <w:rPr>
          <w:rFonts w:eastAsia="Calibri"/>
          <w:noProof/>
        </w:rPr>
        <w:t>.</w:t>
      </w:r>
    </w:p>
    <w:p w14:paraId="7490FEB3" w14:textId="2B7E26DB" w:rsidR="0057062A" w:rsidRPr="004B6CD8" w:rsidRDefault="0057062A" w:rsidP="000B5C39">
      <w:pPr>
        <w:pStyle w:val="amprH2Title1"/>
        <w:rPr>
          <w:noProof/>
        </w:rPr>
      </w:pPr>
      <w:bookmarkStart w:id="135" w:name="_Toc131535789"/>
      <w:bookmarkStart w:id="136" w:name="_Toc134794041"/>
      <w:bookmarkStart w:id="137" w:name="_Toc134804314"/>
      <w:bookmarkStart w:id="138" w:name="_Toc231235470"/>
      <w:bookmarkStart w:id="139" w:name="_Toc2946527"/>
      <w:bookmarkStart w:id="140" w:name="_Toc9237705"/>
      <w:r w:rsidRPr="004B6CD8">
        <w:rPr>
          <w:noProof/>
        </w:rPr>
        <w:t>List of audits for which all recommendations were closed in 202</w:t>
      </w:r>
      <w:bookmarkEnd w:id="135"/>
      <w:bookmarkEnd w:id="136"/>
      <w:bookmarkEnd w:id="137"/>
      <w:r w:rsidR="00A67B60" w:rsidRPr="004B6CD8">
        <w:rPr>
          <w:noProof/>
        </w:rPr>
        <w:t>5</w:t>
      </w:r>
      <w:bookmarkEnd w:id="138"/>
      <w:r w:rsidRPr="004B6CD8">
        <w:rPr>
          <w:noProof/>
        </w:rPr>
        <w:t xml:space="preserve"> </w:t>
      </w:r>
      <w:bookmarkEnd w:id="139"/>
      <w:bookmarkEnd w:id="140"/>
    </w:p>
    <w:p w14:paraId="79881A47" w14:textId="23505672" w:rsidR="0057062A" w:rsidRDefault="0057062A" w:rsidP="0057062A">
      <w:pPr>
        <w:spacing w:after="60" w:line="264" w:lineRule="auto"/>
        <w:jc w:val="both"/>
        <w:rPr>
          <w:rFonts w:eastAsia="Times New Roman" w:cs="Times New Roman"/>
          <w:noProof/>
          <w:kern w:val="0"/>
          <w:szCs w:val="20"/>
          <w:lang w:val="en-GB" w:eastAsia="en-GB"/>
          <w14:ligatures w14:val="none"/>
        </w:rPr>
      </w:pPr>
      <w:r w:rsidRPr="004B6CD8">
        <w:rPr>
          <w:rFonts w:eastAsia="Times New Roman" w:cs="Times New Roman"/>
          <w:noProof/>
          <w:kern w:val="0"/>
          <w:szCs w:val="20"/>
          <w:lang w:val="en-GB" w:eastAsia="en-GB"/>
          <w14:ligatures w14:val="none"/>
        </w:rPr>
        <w:t>Based on the results of the follow-up engagements performed in 202</w:t>
      </w:r>
      <w:r w:rsidR="00A67B60" w:rsidRPr="004B6CD8">
        <w:rPr>
          <w:rFonts w:eastAsia="Times New Roman" w:cs="Times New Roman"/>
          <w:noProof/>
          <w:kern w:val="0"/>
          <w:szCs w:val="20"/>
          <w:lang w:val="en-GB" w:eastAsia="en-GB"/>
          <w14:ligatures w14:val="none"/>
        </w:rPr>
        <w:t>5</w:t>
      </w:r>
      <w:r w:rsidRPr="004B6CD8">
        <w:rPr>
          <w:rFonts w:eastAsia="Times New Roman" w:cs="Times New Roman"/>
          <w:noProof/>
          <w:kern w:val="0"/>
          <w:szCs w:val="20"/>
          <w:lang w:val="en-GB" w:eastAsia="en-GB"/>
          <w14:ligatures w14:val="none"/>
        </w:rPr>
        <w:t>, the IAS concluded that the audits listed below could be closed as all the recommendations were assessed as implemented.</w:t>
      </w:r>
    </w:p>
    <w:tbl>
      <w:tblPr>
        <w:tblStyle w:val="Simpletable1"/>
        <w:tblW w:w="0" w:type="auto"/>
        <w:tblBorders>
          <w:left w:val="none" w:sz="0" w:space="0" w:color="auto"/>
          <w:bottom w:val="none" w:sz="0" w:space="0" w:color="auto"/>
          <w:right w:val="none" w:sz="0" w:space="0" w:color="auto"/>
          <w:insideH w:val="single" w:sz="12" w:space="0" w:color="02847D"/>
        </w:tblBorders>
        <w:tblCellMar>
          <w:top w:w="57" w:type="dxa"/>
          <w:bottom w:w="57" w:type="dxa"/>
        </w:tblCellMar>
        <w:tblLook w:val="04A0" w:firstRow="1" w:lastRow="0" w:firstColumn="1" w:lastColumn="0" w:noHBand="0" w:noVBand="1"/>
      </w:tblPr>
      <w:tblGrid>
        <w:gridCol w:w="9063"/>
      </w:tblGrid>
      <w:tr w:rsidR="0057062A" w:rsidRPr="007F05B2" w14:paraId="4BBA5BA6" w14:textId="77777777" w:rsidTr="00363DC6">
        <w:trPr>
          <w:trHeight w:val="1630"/>
        </w:trPr>
        <w:tc>
          <w:tcPr>
            <w:tcW w:w="9063" w:type="dxa"/>
            <w:tcBorders>
              <w:top w:val="nil"/>
              <w:bottom w:val="dashSmallGap" w:sz="4" w:space="0" w:color="auto"/>
            </w:tcBorders>
          </w:tcPr>
          <w:p w14:paraId="7564FC5E" w14:textId="6CB95900" w:rsidR="0057062A" w:rsidRPr="004B6CD8" w:rsidRDefault="0057062A" w:rsidP="001E48C2">
            <w:pPr>
              <w:pStyle w:val="boldblue"/>
            </w:pPr>
            <w:bookmarkStart w:id="141" w:name="_Hlk132295653"/>
            <w:r w:rsidRPr="004B6CD8">
              <w:t>AUDITS</w:t>
            </w:r>
            <w:r w:rsidR="000E5033" w:rsidRPr="004B6CD8">
              <w:t xml:space="preserve"> IN DGs</w:t>
            </w:r>
          </w:p>
          <w:p w14:paraId="3E32959D" w14:textId="46D6386F" w:rsidR="0057062A" w:rsidRPr="008A53FC" w:rsidRDefault="0057062A" w:rsidP="000F2B8B">
            <w:pPr>
              <w:spacing w:after="60"/>
              <w:jc w:val="both"/>
              <w:rPr>
                <w:noProof/>
                <w:lang w:val="en-GB"/>
              </w:rPr>
            </w:pPr>
            <w:r w:rsidRPr="008A53FC">
              <w:rPr>
                <w:b/>
                <w:bCs/>
                <w:noProof/>
                <w:color w:val="003399" w:themeColor="text2"/>
                <w:lang w:val="en-GB"/>
              </w:rPr>
              <w:t>2.</w:t>
            </w:r>
            <w:r w:rsidR="00A67B60" w:rsidRPr="008A53FC">
              <w:rPr>
                <w:b/>
                <w:bCs/>
                <w:noProof/>
                <w:color w:val="003399" w:themeColor="text2"/>
                <w:lang w:val="en-GB"/>
              </w:rPr>
              <w:t>1</w:t>
            </w:r>
            <w:r w:rsidR="0032030F" w:rsidRPr="008A53FC">
              <w:rPr>
                <w:b/>
                <w:bCs/>
                <w:noProof/>
                <w:color w:val="003399" w:themeColor="text2"/>
                <w:lang w:val="en-GB"/>
              </w:rPr>
              <w:t>.</w:t>
            </w:r>
            <w:r w:rsidRPr="008A53FC">
              <w:rPr>
                <w:noProof/>
                <w:color w:val="003399" w:themeColor="text2"/>
                <w:lang w:val="en-GB"/>
              </w:rPr>
              <w:t xml:space="preserve"> </w:t>
            </w:r>
            <w:r w:rsidR="00C15198" w:rsidRPr="008A53FC">
              <w:rPr>
                <w:noProof/>
                <w:lang w:val="en-GB"/>
              </w:rPr>
              <w:t>Audi</w:t>
            </w:r>
            <w:r w:rsidR="00DB0E56" w:rsidRPr="008A53FC">
              <w:rPr>
                <w:noProof/>
                <w:lang w:val="en-GB"/>
              </w:rPr>
              <w:t>t</w:t>
            </w:r>
            <w:r w:rsidR="00C15198" w:rsidRPr="008A53FC">
              <w:rPr>
                <w:noProof/>
                <w:lang w:val="en-GB"/>
              </w:rPr>
              <w:t xml:space="preserve"> in DG BUDG - Limited review of SUMMA in preparation for ‘going live’</w:t>
            </w:r>
          </w:p>
          <w:p w14:paraId="3FCAA188" w14:textId="639876F8" w:rsidR="00646027" w:rsidRPr="004B6CD8" w:rsidRDefault="00646027" w:rsidP="0057062A">
            <w:pPr>
              <w:spacing w:after="60"/>
              <w:jc w:val="both"/>
              <w:rPr>
                <w:rFonts w:eastAsia="Times New Roman"/>
                <w:noProof/>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2</w:t>
            </w:r>
            <w:r w:rsidR="0032030F" w:rsidRPr="004B6CD8">
              <w:rPr>
                <w:rFonts w:eastAsia="Times New Roman"/>
                <w:b/>
                <w:bCs/>
                <w:noProof/>
                <w:color w:val="003399" w:themeColor="text2"/>
                <w:lang w:val="en-GB" w:eastAsia="en-GB"/>
              </w:rPr>
              <w:t>.</w:t>
            </w:r>
            <w:r w:rsidRPr="004B6CD8">
              <w:rPr>
                <w:rFonts w:eastAsia="Times New Roman"/>
                <w:b/>
                <w:bCs/>
                <w:noProof/>
                <w:color w:val="003399" w:themeColor="text2"/>
                <w:lang w:val="en-GB" w:eastAsia="en-GB"/>
              </w:rPr>
              <w:t xml:space="preserve"> </w:t>
            </w:r>
            <w:r w:rsidRPr="004B6CD8">
              <w:rPr>
                <w:rFonts w:eastAsia="Times New Roman"/>
                <w:noProof/>
                <w:lang w:val="en-GB" w:eastAsia="en-GB"/>
              </w:rPr>
              <w:t xml:space="preserve">Audit </w:t>
            </w:r>
            <w:r w:rsidR="00C15198" w:rsidRPr="004B6CD8">
              <w:rPr>
                <w:rFonts w:eastAsia="Times New Roman"/>
                <w:noProof/>
                <w:lang w:val="en-GB" w:eastAsia="en-GB"/>
              </w:rPr>
              <w:t>in DG CLIMA – Limited review of the security plan and associated security measures of the EU emissions trading system information system managed by DG CLIMA</w:t>
            </w:r>
          </w:p>
          <w:p w14:paraId="037C3CF3" w14:textId="6B18FD6E" w:rsidR="00646027" w:rsidRPr="004B6CD8" w:rsidRDefault="0057062A" w:rsidP="0057062A">
            <w:pPr>
              <w:spacing w:after="60"/>
              <w:jc w:val="both"/>
              <w:rPr>
                <w:rFonts w:eastAsia="Times New Roman"/>
                <w:noProof/>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3</w:t>
            </w:r>
            <w:r w:rsidR="0032030F" w:rsidRPr="004B6CD8">
              <w:rPr>
                <w:rFonts w:eastAsia="Times New Roman"/>
                <w:b/>
                <w:bCs/>
                <w:noProof/>
                <w:color w:val="003399" w:themeColor="text2"/>
                <w:lang w:val="en-GB" w:eastAsia="en-GB"/>
              </w:rPr>
              <w:t>.</w:t>
            </w:r>
            <w:r w:rsidR="00646027" w:rsidRPr="004B6CD8">
              <w:rPr>
                <w:noProof/>
                <w:color w:val="003399" w:themeColor="text2"/>
                <w:lang w:val="en-GB"/>
              </w:rPr>
              <w:t xml:space="preserve"> </w:t>
            </w:r>
            <w:r w:rsidR="00646027" w:rsidRPr="004B6CD8">
              <w:rPr>
                <w:rFonts w:eastAsia="Times New Roman"/>
                <w:noProof/>
                <w:lang w:val="en-GB" w:eastAsia="en-GB"/>
              </w:rPr>
              <w:t xml:space="preserve">Audit </w:t>
            </w:r>
            <w:r w:rsidR="00C15198" w:rsidRPr="004B6CD8">
              <w:rPr>
                <w:rFonts w:eastAsia="Times New Roman"/>
                <w:noProof/>
                <w:lang w:val="en-GB" w:eastAsia="en-GB"/>
              </w:rPr>
              <w:t>in DG COMP – Human resources management</w:t>
            </w:r>
          </w:p>
          <w:p w14:paraId="04E4AAE3" w14:textId="1E6E327A" w:rsidR="0057062A" w:rsidRPr="004B6CD8" w:rsidRDefault="00646027" w:rsidP="0057062A">
            <w:pPr>
              <w:spacing w:after="60"/>
              <w:jc w:val="both"/>
              <w:rPr>
                <w:rFonts w:eastAsia="Times New Roman"/>
                <w:noProof/>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4</w:t>
            </w:r>
            <w:r w:rsidR="0032030F" w:rsidRPr="004B6CD8">
              <w:rPr>
                <w:rFonts w:eastAsia="Times New Roman"/>
                <w:b/>
                <w:bCs/>
                <w:noProof/>
                <w:color w:val="003399" w:themeColor="text2"/>
                <w:lang w:val="en-GB" w:eastAsia="en-GB"/>
              </w:rPr>
              <w:t>.</w:t>
            </w:r>
            <w:r w:rsidRPr="004B6CD8">
              <w:rPr>
                <w:rFonts w:eastAsia="Times New Roman"/>
                <w:b/>
                <w:bCs/>
                <w:noProof/>
                <w:color w:val="003399" w:themeColor="text2"/>
                <w:lang w:val="en-GB" w:eastAsia="en-GB"/>
              </w:rPr>
              <w:t xml:space="preserve"> </w:t>
            </w:r>
            <w:r w:rsidRPr="004B6CD8">
              <w:rPr>
                <w:rFonts w:eastAsia="Times New Roman"/>
                <w:noProof/>
                <w:lang w:val="en-GB" w:eastAsia="en-GB"/>
              </w:rPr>
              <w:t xml:space="preserve">Audit </w:t>
            </w:r>
            <w:r w:rsidR="00C15198" w:rsidRPr="004B6CD8">
              <w:rPr>
                <w:rFonts w:eastAsia="Times New Roman"/>
                <w:noProof/>
                <w:lang w:val="en-GB" w:eastAsia="en-GB"/>
              </w:rPr>
              <w:t>in DG DEFIS - Preparedness for the management and control systems for the 2021-2027 Space programme implementation</w:t>
            </w:r>
          </w:p>
          <w:p w14:paraId="5342F0C9" w14:textId="1EC71622" w:rsidR="00646027" w:rsidRPr="004B6CD8" w:rsidRDefault="0028162B" w:rsidP="0057062A">
            <w:pPr>
              <w:spacing w:after="60"/>
              <w:jc w:val="both"/>
              <w:rPr>
                <w:rFonts w:eastAsia="Times New Roman"/>
                <w:noProof/>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5</w:t>
            </w:r>
            <w:r w:rsidRPr="004B6CD8">
              <w:rPr>
                <w:rFonts w:eastAsia="Times New Roman"/>
                <w:b/>
                <w:bCs/>
                <w:noProof/>
                <w:color w:val="003399" w:themeColor="text2"/>
                <w:lang w:val="en-GB" w:eastAsia="en-GB"/>
              </w:rPr>
              <w:t>.</w:t>
            </w:r>
            <w:r w:rsidRPr="004B6CD8">
              <w:rPr>
                <w:rFonts w:eastAsia="Times New Roman"/>
                <w:noProof/>
                <w:color w:val="003399" w:themeColor="text2"/>
                <w:lang w:val="en-GB" w:eastAsia="en-GB"/>
              </w:rPr>
              <w:t xml:space="preserve"> </w:t>
            </w:r>
            <w:r w:rsidRPr="004B6CD8">
              <w:rPr>
                <w:rFonts w:eastAsia="Times New Roman"/>
                <w:noProof/>
                <w:lang w:val="en-GB" w:eastAsia="en-GB"/>
              </w:rPr>
              <w:t xml:space="preserve">Audit </w:t>
            </w:r>
            <w:r w:rsidR="00C15198" w:rsidRPr="004B6CD8">
              <w:rPr>
                <w:rFonts w:eastAsia="Times New Roman"/>
                <w:noProof/>
                <w:lang w:val="en-GB" w:eastAsia="en-GB"/>
              </w:rPr>
              <w:t>in DG DIGIT - Public procurement</w:t>
            </w:r>
          </w:p>
          <w:p w14:paraId="41E5E158" w14:textId="275E98A4" w:rsidR="00873986" w:rsidRPr="004B6CD8" w:rsidRDefault="00873986" w:rsidP="0057062A">
            <w:pPr>
              <w:spacing w:after="60"/>
              <w:jc w:val="both"/>
              <w:rPr>
                <w:rFonts w:eastAsia="Times New Roman"/>
                <w:noProof/>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6</w:t>
            </w:r>
            <w:r w:rsidRPr="004B6CD8">
              <w:rPr>
                <w:rFonts w:eastAsia="Times New Roman"/>
                <w:b/>
                <w:bCs/>
                <w:noProof/>
                <w:color w:val="003399" w:themeColor="text2"/>
                <w:sz w:val="22"/>
                <w:szCs w:val="22"/>
                <w:lang w:val="en-GB" w:eastAsia="en-GB"/>
              </w:rPr>
              <w:t>.</w:t>
            </w:r>
            <w:r w:rsidRPr="004B6CD8">
              <w:rPr>
                <w:rFonts w:eastAsia="Times New Roman"/>
                <w:noProof/>
                <w:color w:val="003399" w:themeColor="text2"/>
                <w:sz w:val="22"/>
                <w:szCs w:val="22"/>
                <w:lang w:val="en-GB" w:eastAsia="en-GB"/>
              </w:rPr>
              <w:t xml:space="preserve"> </w:t>
            </w:r>
            <w:r w:rsidRPr="004B6CD8">
              <w:rPr>
                <w:rFonts w:eastAsia="Times New Roman"/>
                <w:noProof/>
                <w:lang w:val="en-GB" w:eastAsia="en-GB"/>
              </w:rPr>
              <w:t xml:space="preserve">Audit </w:t>
            </w:r>
            <w:r w:rsidR="000E5033" w:rsidRPr="004B6CD8">
              <w:rPr>
                <w:rFonts w:eastAsia="Times New Roman"/>
                <w:noProof/>
                <w:lang w:val="en-GB" w:eastAsia="en-GB"/>
              </w:rPr>
              <w:t>in EACEA - Performance of the management of experts for proposal evaluation</w:t>
            </w:r>
          </w:p>
          <w:p w14:paraId="09399B57" w14:textId="2CABB3B1" w:rsidR="00873986" w:rsidRPr="004B6CD8" w:rsidRDefault="00873986" w:rsidP="0057062A">
            <w:pPr>
              <w:spacing w:after="60"/>
              <w:jc w:val="both"/>
              <w:rPr>
                <w:rFonts w:eastAsia="Times New Roman"/>
                <w:noProof/>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7</w:t>
            </w:r>
            <w:r w:rsidRPr="004B6CD8">
              <w:rPr>
                <w:rFonts w:eastAsia="Times New Roman"/>
                <w:b/>
                <w:bCs/>
                <w:noProof/>
                <w:color w:val="003399" w:themeColor="text2"/>
                <w:lang w:val="en-GB" w:eastAsia="en-GB"/>
              </w:rPr>
              <w:t>.</w:t>
            </w:r>
            <w:r w:rsidRPr="004B6CD8">
              <w:rPr>
                <w:rFonts w:eastAsia="Times New Roman"/>
                <w:noProof/>
                <w:color w:val="003399" w:themeColor="text2"/>
                <w:lang w:val="en-GB" w:eastAsia="en-GB"/>
              </w:rPr>
              <w:t xml:space="preserve"> </w:t>
            </w:r>
            <w:r w:rsidRPr="004B6CD8">
              <w:rPr>
                <w:rFonts w:eastAsia="Times New Roman"/>
                <w:noProof/>
                <w:lang w:val="en-GB" w:eastAsia="en-GB"/>
              </w:rPr>
              <w:t xml:space="preserve">Audit </w:t>
            </w:r>
            <w:r w:rsidR="000E5033" w:rsidRPr="004B6CD8">
              <w:rPr>
                <w:rFonts w:eastAsia="Times New Roman"/>
                <w:noProof/>
                <w:lang w:val="en-GB" w:eastAsia="en-GB"/>
              </w:rPr>
              <w:t>in DG ECFIN - Human resources management</w:t>
            </w:r>
          </w:p>
          <w:p w14:paraId="0FEE3300" w14:textId="323231CA" w:rsidR="00A67B60" w:rsidRPr="004B6CD8" w:rsidRDefault="00A67B60"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8</w:t>
            </w:r>
            <w:r w:rsidR="000E5033" w:rsidRPr="004B6CD8">
              <w:rPr>
                <w:rFonts w:eastAsia="Times New Roman"/>
                <w:b/>
                <w:bCs/>
                <w:noProof/>
                <w:color w:val="003399" w:themeColor="text2"/>
                <w:lang w:val="en-GB" w:eastAsia="en-GB"/>
              </w:rPr>
              <w:t xml:space="preserve"> </w:t>
            </w:r>
            <w:r w:rsidR="000E5033" w:rsidRPr="004B6CD8">
              <w:rPr>
                <w:rFonts w:eastAsia="Times New Roman"/>
                <w:noProof/>
                <w:lang w:val="en-GB" w:eastAsia="en-GB"/>
              </w:rPr>
              <w:t>Audit in DG ECFIN - Limited review of the Recovery and Resilience Facility control and audit strategies</w:t>
            </w:r>
          </w:p>
          <w:p w14:paraId="6C61B3BA" w14:textId="62F58629" w:rsidR="00A67B60" w:rsidRPr="004B6CD8" w:rsidRDefault="00A67B60"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9</w:t>
            </w:r>
            <w:r w:rsidR="0032030F" w:rsidRPr="004B6CD8">
              <w:rPr>
                <w:rFonts w:eastAsia="Times New Roman"/>
                <w:b/>
                <w:bCs/>
                <w:noProof/>
                <w:color w:val="003399" w:themeColor="text2"/>
                <w:lang w:val="en-GB" w:eastAsia="en-GB"/>
              </w:rPr>
              <w:t>.</w:t>
            </w:r>
            <w:r w:rsidR="000E5033" w:rsidRPr="004B6CD8">
              <w:rPr>
                <w:rFonts w:eastAsia="Times New Roman"/>
                <w:b/>
                <w:bCs/>
                <w:noProof/>
                <w:color w:val="003399" w:themeColor="text2"/>
                <w:lang w:val="en-GB" w:eastAsia="en-GB"/>
              </w:rPr>
              <w:t xml:space="preserve"> </w:t>
            </w:r>
            <w:r w:rsidR="000E5033" w:rsidRPr="004B6CD8">
              <w:rPr>
                <w:rFonts w:eastAsia="Times New Roman"/>
                <w:noProof/>
                <w:lang w:val="en-GB" w:eastAsia="en-GB"/>
              </w:rPr>
              <w:t xml:space="preserve">Audit in DG ECFIN - </w:t>
            </w:r>
            <w:r w:rsidR="000E5033" w:rsidRPr="008A53FC">
              <w:rPr>
                <w:rFonts w:eastAsia="Times New Roman"/>
                <w:i/>
                <w:iCs/>
                <w:noProof/>
                <w:lang w:val="en-GB" w:eastAsia="en-GB"/>
              </w:rPr>
              <w:t>Ex ante</w:t>
            </w:r>
            <w:r w:rsidR="000E5033" w:rsidRPr="004B6CD8">
              <w:rPr>
                <w:rFonts w:eastAsia="Times New Roman"/>
                <w:noProof/>
                <w:lang w:val="en-GB" w:eastAsia="en-GB"/>
              </w:rPr>
              <w:t xml:space="preserve"> controls of the Recovery and Resilience Facility payment requests</w:t>
            </w:r>
          </w:p>
          <w:p w14:paraId="70A670AE" w14:textId="338E78EF" w:rsidR="00A67B60" w:rsidRPr="004B6CD8" w:rsidRDefault="00A67B60"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10</w:t>
            </w:r>
            <w:r w:rsidR="0032030F" w:rsidRPr="004B6CD8">
              <w:rPr>
                <w:rFonts w:eastAsia="Times New Roman"/>
                <w:b/>
                <w:bCs/>
                <w:noProof/>
                <w:color w:val="003399" w:themeColor="text2"/>
                <w:lang w:val="en-GB" w:eastAsia="en-GB"/>
              </w:rPr>
              <w:t>.</w:t>
            </w:r>
            <w:r w:rsidR="000E5033" w:rsidRPr="004B6CD8">
              <w:rPr>
                <w:rFonts w:eastAsia="Times New Roman"/>
                <w:b/>
                <w:bCs/>
                <w:noProof/>
                <w:color w:val="003399" w:themeColor="text2"/>
                <w:lang w:val="en-GB" w:eastAsia="en-GB"/>
              </w:rPr>
              <w:t xml:space="preserve"> </w:t>
            </w:r>
            <w:r w:rsidR="000E5033" w:rsidRPr="004B6CD8">
              <w:rPr>
                <w:rFonts w:eastAsia="Times New Roman"/>
                <w:noProof/>
                <w:lang w:val="en-GB" w:eastAsia="en-GB"/>
              </w:rPr>
              <w:t>Audit in DG ESTAT - Effectiveness and efficiency of Eurostat’s performance management system</w:t>
            </w:r>
          </w:p>
          <w:p w14:paraId="4BEAA496" w14:textId="67420B47" w:rsidR="000E5033" w:rsidRPr="004B6CD8" w:rsidRDefault="000E5033"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11</w:t>
            </w:r>
            <w:r w:rsidR="0032030F" w:rsidRPr="004B6CD8">
              <w:rPr>
                <w:rFonts w:eastAsia="Times New Roman"/>
                <w:b/>
                <w:bCs/>
                <w:noProof/>
                <w:color w:val="003399" w:themeColor="text2"/>
                <w:lang w:val="en-GB" w:eastAsia="en-GB"/>
              </w:rPr>
              <w:t>.</w:t>
            </w:r>
            <w:r w:rsidRPr="004B6CD8">
              <w:rPr>
                <w:rFonts w:eastAsia="Times New Roman"/>
                <w:b/>
                <w:bCs/>
                <w:noProof/>
                <w:color w:val="003399" w:themeColor="text2"/>
                <w:lang w:val="en-GB" w:eastAsia="en-GB"/>
              </w:rPr>
              <w:t xml:space="preserve"> </w:t>
            </w:r>
            <w:r w:rsidRPr="004B6CD8">
              <w:rPr>
                <w:rFonts w:eastAsia="Times New Roman"/>
                <w:noProof/>
                <w:lang w:val="en-GB" w:eastAsia="en-GB"/>
              </w:rPr>
              <w:t>Audit in DG GROW - Performance of the treatment of stakeholders’ complaints concerning the internal market</w:t>
            </w:r>
          </w:p>
          <w:p w14:paraId="4694FDBE" w14:textId="7DA7714F" w:rsidR="000E5033" w:rsidRPr="004B6CD8" w:rsidRDefault="000E5033"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12</w:t>
            </w:r>
            <w:r w:rsidR="0032030F" w:rsidRPr="004B6CD8">
              <w:rPr>
                <w:rFonts w:eastAsia="Times New Roman"/>
                <w:b/>
                <w:bCs/>
                <w:noProof/>
                <w:color w:val="003399" w:themeColor="text2"/>
                <w:lang w:val="en-GB" w:eastAsia="en-GB"/>
              </w:rPr>
              <w:t>.</w:t>
            </w:r>
            <w:r w:rsidRPr="004B6CD8">
              <w:rPr>
                <w:rFonts w:eastAsia="Times New Roman"/>
                <w:b/>
                <w:bCs/>
                <w:noProof/>
                <w:color w:val="003399" w:themeColor="text2"/>
                <w:lang w:val="en-GB" w:eastAsia="en-GB"/>
              </w:rPr>
              <w:t xml:space="preserve"> </w:t>
            </w:r>
            <w:r w:rsidRPr="004B6CD8">
              <w:rPr>
                <w:rFonts w:eastAsia="Times New Roman"/>
                <w:noProof/>
                <w:lang w:val="en-GB" w:eastAsia="en-GB"/>
              </w:rPr>
              <w:t xml:space="preserve">Audit in DG HOME - Preparedness for closing actions and programmes funded under </w:t>
            </w:r>
            <w:r w:rsidR="00DB0E56" w:rsidRPr="004B6CD8">
              <w:rPr>
                <w:rFonts w:eastAsia="Times New Roman"/>
                <w:noProof/>
                <w:lang w:val="en-GB" w:eastAsia="en-GB"/>
              </w:rPr>
              <w:t>the Internal Security Fund (</w:t>
            </w:r>
            <w:r w:rsidRPr="004B6CD8">
              <w:rPr>
                <w:rFonts w:eastAsia="Times New Roman"/>
                <w:noProof/>
                <w:lang w:val="en-GB" w:eastAsia="en-GB"/>
              </w:rPr>
              <w:t>ISF</w:t>
            </w:r>
            <w:r w:rsidR="00DB0E56" w:rsidRPr="004B6CD8">
              <w:rPr>
                <w:rFonts w:eastAsia="Times New Roman"/>
                <w:noProof/>
                <w:lang w:val="en-GB" w:eastAsia="en-GB"/>
              </w:rPr>
              <w:t>)</w:t>
            </w:r>
            <w:r w:rsidRPr="004B6CD8">
              <w:rPr>
                <w:rFonts w:eastAsia="Times New Roman"/>
                <w:noProof/>
                <w:lang w:val="en-GB" w:eastAsia="en-GB"/>
              </w:rPr>
              <w:t xml:space="preserve"> and </w:t>
            </w:r>
            <w:r w:rsidR="00DB0E56" w:rsidRPr="004B6CD8">
              <w:rPr>
                <w:rFonts w:eastAsia="Times New Roman"/>
                <w:noProof/>
                <w:lang w:val="en-GB" w:eastAsia="en-GB"/>
              </w:rPr>
              <w:t>the Asylum, Migration and Integration Fund (</w:t>
            </w:r>
            <w:r w:rsidRPr="004B6CD8">
              <w:rPr>
                <w:rFonts w:eastAsia="Times New Roman"/>
                <w:noProof/>
                <w:lang w:val="en-GB" w:eastAsia="en-GB"/>
              </w:rPr>
              <w:t>AMIF</w:t>
            </w:r>
            <w:r w:rsidR="00DB0E56" w:rsidRPr="004B6CD8">
              <w:rPr>
                <w:rFonts w:eastAsia="Times New Roman"/>
                <w:noProof/>
                <w:lang w:val="en-GB" w:eastAsia="en-GB"/>
              </w:rPr>
              <w:t>)</w:t>
            </w:r>
            <w:r w:rsidRPr="004B6CD8">
              <w:rPr>
                <w:rFonts w:eastAsia="Times New Roman"/>
                <w:noProof/>
                <w:lang w:val="en-GB" w:eastAsia="en-GB"/>
              </w:rPr>
              <w:t xml:space="preserve"> through direct and shared management</w:t>
            </w:r>
          </w:p>
          <w:p w14:paraId="5D7ADBA2" w14:textId="1BB2CEED" w:rsidR="000E5033" w:rsidRPr="004B6CD8" w:rsidRDefault="000E5033"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13</w:t>
            </w:r>
            <w:r w:rsidR="0032030F" w:rsidRPr="004B6CD8">
              <w:rPr>
                <w:rFonts w:eastAsia="Times New Roman"/>
                <w:b/>
                <w:bCs/>
                <w:noProof/>
                <w:color w:val="003399" w:themeColor="text2"/>
                <w:lang w:val="en-GB" w:eastAsia="en-GB"/>
              </w:rPr>
              <w:t xml:space="preserve">. </w:t>
            </w:r>
            <w:r w:rsidRPr="004B6CD8">
              <w:rPr>
                <w:rFonts w:eastAsia="Times New Roman"/>
                <w:noProof/>
                <w:lang w:val="en-GB" w:eastAsia="en-GB"/>
              </w:rPr>
              <w:t>Audit in DG SANTE - TRAde Control and Expert System (TRACES)</w:t>
            </w:r>
          </w:p>
          <w:p w14:paraId="1628176C" w14:textId="16E316BC" w:rsidR="000E5033" w:rsidRPr="004B6CD8" w:rsidRDefault="000E5033"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14</w:t>
            </w:r>
            <w:r w:rsidR="0032030F" w:rsidRPr="004B6CD8">
              <w:rPr>
                <w:rFonts w:eastAsia="Times New Roman"/>
                <w:b/>
                <w:bCs/>
                <w:noProof/>
                <w:color w:val="003399" w:themeColor="text2"/>
                <w:lang w:val="en-GB" w:eastAsia="en-GB"/>
              </w:rPr>
              <w:t>.</w:t>
            </w:r>
            <w:r w:rsidRPr="004B6CD8">
              <w:rPr>
                <w:rFonts w:eastAsia="Times New Roman"/>
                <w:b/>
                <w:bCs/>
                <w:noProof/>
                <w:color w:val="003399" w:themeColor="text2"/>
                <w:lang w:val="en-GB" w:eastAsia="en-GB"/>
              </w:rPr>
              <w:t xml:space="preserve"> </w:t>
            </w:r>
            <w:r w:rsidRPr="004B6CD8">
              <w:rPr>
                <w:rFonts w:eastAsia="Times New Roman"/>
                <w:noProof/>
                <w:lang w:val="en-GB" w:eastAsia="en-GB"/>
              </w:rPr>
              <w:t>Audit in DG SANTE - Information technology (IT) security– findings on the</w:t>
            </w:r>
            <w:r w:rsidR="00DB0E56" w:rsidRPr="004B6CD8">
              <w:rPr>
                <w:rFonts w:eastAsia="Times New Roman"/>
                <w:noProof/>
                <w:lang w:val="en-GB" w:eastAsia="en-GB"/>
              </w:rPr>
              <w:t xml:space="preserve"> medical device regulation’s European database on medical devices</w:t>
            </w:r>
            <w:r w:rsidRPr="004B6CD8">
              <w:rPr>
                <w:rFonts w:eastAsia="Times New Roman"/>
                <w:noProof/>
                <w:lang w:val="en-GB" w:eastAsia="en-GB"/>
              </w:rPr>
              <w:t xml:space="preserve"> </w:t>
            </w:r>
            <w:r w:rsidR="00DB0E56" w:rsidRPr="004B6CD8">
              <w:rPr>
                <w:rFonts w:eastAsia="Times New Roman"/>
                <w:noProof/>
                <w:lang w:val="en-GB" w:eastAsia="en-GB"/>
              </w:rPr>
              <w:t>(</w:t>
            </w:r>
            <w:r w:rsidRPr="004B6CD8">
              <w:rPr>
                <w:rFonts w:eastAsia="Times New Roman"/>
                <w:noProof/>
                <w:lang w:val="en-GB" w:eastAsia="en-GB"/>
              </w:rPr>
              <w:t>MDR EUDAMED</w:t>
            </w:r>
            <w:r w:rsidR="00DB0E56" w:rsidRPr="004B6CD8">
              <w:rPr>
                <w:rFonts w:eastAsia="Times New Roman"/>
                <w:noProof/>
                <w:lang w:val="en-GB" w:eastAsia="en-GB"/>
              </w:rPr>
              <w:t>)</w:t>
            </w:r>
            <w:r w:rsidRPr="004B6CD8">
              <w:rPr>
                <w:rFonts w:eastAsia="Times New Roman"/>
                <w:noProof/>
                <w:lang w:val="en-GB" w:eastAsia="en-GB"/>
              </w:rPr>
              <w:t xml:space="preserve"> IT system</w:t>
            </w:r>
          </w:p>
          <w:p w14:paraId="64B32359" w14:textId="12D3102D" w:rsidR="000E5033" w:rsidRPr="004B6CD8" w:rsidRDefault="000E5033"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15</w:t>
            </w:r>
            <w:r w:rsidR="0032030F" w:rsidRPr="004B6CD8">
              <w:rPr>
                <w:rFonts w:eastAsia="Times New Roman"/>
                <w:b/>
                <w:bCs/>
                <w:noProof/>
                <w:color w:val="003399" w:themeColor="text2"/>
                <w:lang w:val="en-GB" w:eastAsia="en-GB"/>
              </w:rPr>
              <w:t>.</w:t>
            </w:r>
            <w:r w:rsidRPr="004B6CD8">
              <w:rPr>
                <w:rFonts w:eastAsia="Times New Roman"/>
                <w:b/>
                <w:bCs/>
                <w:noProof/>
                <w:color w:val="003399" w:themeColor="text2"/>
                <w:lang w:val="en-GB" w:eastAsia="en-GB"/>
              </w:rPr>
              <w:t xml:space="preserve"> </w:t>
            </w:r>
            <w:r w:rsidRPr="004B6CD8">
              <w:rPr>
                <w:rFonts w:eastAsia="Times New Roman"/>
                <w:noProof/>
                <w:lang w:val="en-GB" w:eastAsia="en-GB"/>
              </w:rPr>
              <w:t>Audit in SCIC - Procurement</w:t>
            </w:r>
          </w:p>
          <w:p w14:paraId="04041176" w14:textId="5E2E1176" w:rsidR="000E5033" w:rsidRPr="004B6CD8" w:rsidRDefault="000E5033"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16</w:t>
            </w:r>
            <w:r w:rsidR="0032030F" w:rsidRPr="004B6CD8">
              <w:rPr>
                <w:rFonts w:eastAsia="Times New Roman"/>
                <w:b/>
                <w:bCs/>
                <w:noProof/>
                <w:color w:val="003399" w:themeColor="text2"/>
                <w:lang w:val="en-GB" w:eastAsia="en-GB"/>
              </w:rPr>
              <w:t>.</w:t>
            </w:r>
            <w:r w:rsidRPr="004B6CD8">
              <w:rPr>
                <w:rFonts w:eastAsia="Times New Roman"/>
                <w:b/>
                <w:bCs/>
                <w:noProof/>
                <w:color w:val="003399" w:themeColor="text2"/>
                <w:lang w:val="en-GB" w:eastAsia="en-GB"/>
              </w:rPr>
              <w:t xml:space="preserve"> </w:t>
            </w:r>
            <w:r w:rsidRPr="004B6CD8">
              <w:rPr>
                <w:rFonts w:eastAsia="Times New Roman"/>
                <w:noProof/>
                <w:lang w:val="en-GB" w:eastAsia="en-GB"/>
              </w:rPr>
              <w:t>Audit in the SG - Information technology governance and project management, including software development</w:t>
            </w:r>
          </w:p>
          <w:p w14:paraId="4B3D74AA" w14:textId="3C899B02" w:rsidR="000E5033" w:rsidRPr="004B6CD8" w:rsidRDefault="000E5033"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MULTI – DGs AUDITS</w:t>
            </w:r>
          </w:p>
          <w:p w14:paraId="755914A5" w14:textId="239A563C" w:rsidR="00A67B60" w:rsidRPr="004B6CD8" w:rsidRDefault="000E5033"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17</w:t>
            </w:r>
            <w:r w:rsidR="0032030F" w:rsidRPr="004B6CD8">
              <w:rPr>
                <w:rFonts w:eastAsia="Times New Roman"/>
                <w:b/>
                <w:bCs/>
                <w:noProof/>
                <w:color w:val="003399" w:themeColor="text2"/>
                <w:lang w:val="en-GB" w:eastAsia="en-GB"/>
              </w:rPr>
              <w:t>.</w:t>
            </w:r>
            <w:r w:rsidRPr="004B6CD8">
              <w:rPr>
                <w:rFonts w:eastAsia="Times New Roman"/>
                <w:b/>
                <w:bCs/>
                <w:noProof/>
                <w:color w:val="003399" w:themeColor="text2"/>
                <w:lang w:val="en-GB" w:eastAsia="en-GB"/>
              </w:rPr>
              <w:t xml:space="preserve"> </w:t>
            </w:r>
            <w:r w:rsidRPr="004B6CD8">
              <w:rPr>
                <w:rFonts w:eastAsia="Times New Roman"/>
                <w:noProof/>
                <w:lang w:val="en-GB" w:eastAsia="en-GB"/>
              </w:rPr>
              <w:t>Audit in DGs CLIMA and CINEA - Implementation of the Innovation Fund</w:t>
            </w:r>
          </w:p>
          <w:p w14:paraId="433D2A9A" w14:textId="3D317C57" w:rsidR="000E5033" w:rsidRPr="004B6CD8" w:rsidRDefault="000E5033" w:rsidP="0057062A">
            <w:pPr>
              <w:spacing w:after="60"/>
              <w:jc w:val="both"/>
              <w:rPr>
                <w:rFonts w:eastAsia="Times New Roman"/>
                <w:b/>
                <w:bCs/>
                <w:noProof/>
                <w:color w:val="003399" w:themeColor="text2"/>
                <w:lang w:val="en-GB" w:eastAsia="en-GB"/>
              </w:rPr>
            </w:pPr>
            <w:r w:rsidRPr="008A53FC">
              <w:rPr>
                <w:rFonts w:eastAsia="Times New Roman"/>
                <w:b/>
                <w:bCs/>
                <w:noProof/>
                <w:color w:val="003399" w:themeColor="text2"/>
                <w:lang w:val="en-GB" w:eastAsia="en-GB"/>
              </w:rPr>
              <w:t>2.</w:t>
            </w:r>
            <w:r w:rsidR="000F2B8B">
              <w:rPr>
                <w:rFonts w:eastAsia="Times New Roman"/>
                <w:b/>
                <w:bCs/>
                <w:noProof/>
                <w:color w:val="003399" w:themeColor="text2"/>
                <w:lang w:val="en-GB" w:eastAsia="en-GB"/>
              </w:rPr>
              <w:t>18</w:t>
            </w:r>
            <w:r w:rsidR="0032030F" w:rsidRPr="008A53FC">
              <w:rPr>
                <w:rFonts w:eastAsia="Times New Roman"/>
                <w:b/>
                <w:bCs/>
                <w:noProof/>
                <w:color w:val="003399" w:themeColor="text2"/>
                <w:lang w:val="en-GB" w:eastAsia="en-GB"/>
              </w:rPr>
              <w:t>.</w:t>
            </w:r>
            <w:r w:rsidRPr="008A53FC">
              <w:rPr>
                <w:rFonts w:eastAsia="Times New Roman"/>
                <w:b/>
                <w:bCs/>
                <w:noProof/>
                <w:color w:val="003399" w:themeColor="text2"/>
                <w:lang w:val="en-GB" w:eastAsia="en-GB"/>
              </w:rPr>
              <w:t xml:space="preserve"> </w:t>
            </w:r>
            <w:r w:rsidRPr="008A53FC">
              <w:rPr>
                <w:rFonts w:eastAsia="Times New Roman"/>
                <w:noProof/>
                <w:lang w:val="en-GB" w:eastAsia="en-GB"/>
              </w:rPr>
              <w:t>Audit in DGs DIGIT, DG HR and the SG - Management of public cloud services</w:t>
            </w:r>
          </w:p>
          <w:p w14:paraId="47EDB49F" w14:textId="6175D2EA" w:rsidR="00A67B60" w:rsidRPr="004B6CD8" w:rsidRDefault="000E5033"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19</w:t>
            </w:r>
            <w:r w:rsidR="0032030F" w:rsidRPr="004B6CD8">
              <w:rPr>
                <w:rFonts w:eastAsia="Times New Roman"/>
                <w:b/>
                <w:bCs/>
                <w:noProof/>
                <w:color w:val="003399" w:themeColor="text2"/>
                <w:lang w:val="en-GB" w:eastAsia="en-GB"/>
              </w:rPr>
              <w:t>.</w:t>
            </w:r>
            <w:r w:rsidRPr="004B6CD8">
              <w:rPr>
                <w:rFonts w:eastAsia="Times New Roman"/>
                <w:b/>
                <w:bCs/>
                <w:noProof/>
                <w:color w:val="003399" w:themeColor="text2"/>
                <w:lang w:val="en-GB" w:eastAsia="en-GB"/>
              </w:rPr>
              <w:t xml:space="preserve"> </w:t>
            </w:r>
            <w:r w:rsidRPr="004B6CD8">
              <w:rPr>
                <w:rFonts w:eastAsia="Times New Roman"/>
                <w:noProof/>
                <w:lang w:val="en-GB" w:eastAsia="en-GB"/>
              </w:rPr>
              <w:t>Audit in DG HOME - Coordination between DG HOME and the EU decentralised agencies</w:t>
            </w:r>
          </w:p>
          <w:p w14:paraId="1495627D" w14:textId="4B63D1E5" w:rsidR="000E5033" w:rsidRPr="004B6CD8" w:rsidRDefault="000E5033"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20</w:t>
            </w:r>
            <w:r w:rsidR="0032030F" w:rsidRPr="004B6CD8">
              <w:rPr>
                <w:rFonts w:eastAsia="Times New Roman"/>
                <w:b/>
                <w:bCs/>
                <w:noProof/>
                <w:color w:val="003399" w:themeColor="text2"/>
                <w:lang w:val="en-GB" w:eastAsia="en-GB"/>
              </w:rPr>
              <w:t>.</w:t>
            </w:r>
            <w:r w:rsidRPr="004B6CD8">
              <w:rPr>
                <w:rFonts w:eastAsia="Times New Roman"/>
                <w:b/>
                <w:bCs/>
                <w:noProof/>
                <w:color w:val="003399" w:themeColor="text2"/>
                <w:lang w:val="en-GB" w:eastAsia="en-GB"/>
              </w:rPr>
              <w:t xml:space="preserve"> </w:t>
            </w:r>
            <w:r w:rsidRPr="004B6CD8">
              <w:rPr>
                <w:rFonts w:eastAsia="Times New Roman"/>
                <w:noProof/>
                <w:lang w:val="en-GB" w:eastAsia="en-GB"/>
              </w:rPr>
              <w:t xml:space="preserve">Audit in DGs JUST and EACEA - Preparedness of the management and control systems regarding the implementation of </w:t>
            </w:r>
            <w:r w:rsidR="00114B7A" w:rsidRPr="004B6CD8">
              <w:rPr>
                <w:rFonts w:eastAsia="Times New Roman"/>
                <w:noProof/>
                <w:lang w:val="en-GB" w:eastAsia="en-GB"/>
              </w:rPr>
              <w:t>Citizens, Equality, Rights and Values (</w:t>
            </w:r>
            <w:r w:rsidRPr="004B6CD8">
              <w:rPr>
                <w:rFonts w:eastAsia="Times New Roman"/>
                <w:noProof/>
                <w:lang w:val="en-GB" w:eastAsia="en-GB"/>
              </w:rPr>
              <w:t>CERV</w:t>
            </w:r>
            <w:r w:rsidR="00114B7A" w:rsidRPr="004B6CD8">
              <w:rPr>
                <w:rFonts w:eastAsia="Times New Roman"/>
                <w:noProof/>
                <w:lang w:val="en-GB" w:eastAsia="en-GB"/>
              </w:rPr>
              <w:t>)</w:t>
            </w:r>
            <w:r w:rsidRPr="004B6CD8">
              <w:rPr>
                <w:rFonts w:eastAsia="Times New Roman"/>
                <w:noProof/>
                <w:lang w:val="en-GB" w:eastAsia="en-GB"/>
              </w:rPr>
              <w:t xml:space="preserve"> and Justice programmes</w:t>
            </w:r>
          </w:p>
          <w:p w14:paraId="356B4DF0" w14:textId="4EBA39E5" w:rsidR="000E5033" w:rsidRPr="004B6CD8" w:rsidRDefault="000E5033" w:rsidP="0057062A">
            <w:pPr>
              <w:spacing w:after="60"/>
              <w:jc w:val="both"/>
              <w:rPr>
                <w:rFonts w:eastAsia="Times New Roman"/>
                <w:b/>
                <w:bCs/>
                <w:noProof/>
                <w:color w:val="003399" w:themeColor="text2"/>
                <w:lang w:val="en-GB" w:eastAsia="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21</w:t>
            </w:r>
            <w:r w:rsidR="0032030F" w:rsidRPr="004B6CD8">
              <w:rPr>
                <w:rFonts w:eastAsia="Times New Roman"/>
                <w:b/>
                <w:bCs/>
                <w:noProof/>
                <w:color w:val="003399" w:themeColor="text2"/>
                <w:lang w:val="en-GB" w:eastAsia="en-GB"/>
              </w:rPr>
              <w:t>.</w:t>
            </w:r>
            <w:r w:rsidRPr="004B6CD8">
              <w:rPr>
                <w:rFonts w:eastAsia="Times New Roman"/>
                <w:b/>
                <w:bCs/>
                <w:noProof/>
                <w:color w:val="003399" w:themeColor="text2"/>
                <w:lang w:val="en-GB" w:eastAsia="en-GB"/>
              </w:rPr>
              <w:t xml:space="preserve"> </w:t>
            </w:r>
            <w:r w:rsidRPr="004B6CD8">
              <w:rPr>
                <w:rFonts w:eastAsia="Times New Roman"/>
                <w:noProof/>
                <w:lang w:val="en-GB" w:eastAsia="en-GB"/>
              </w:rPr>
              <w:t>Audit in DGs REGIO, DG EMPL and DG MARE - Interruptions, suspensions and financial corrections for European Structural and Investment Funds 2014-2020</w:t>
            </w:r>
          </w:p>
          <w:p w14:paraId="61C7DEC7" w14:textId="4D0CB987" w:rsidR="000E5033" w:rsidRPr="004B6CD8" w:rsidRDefault="000E5033" w:rsidP="0057062A">
            <w:pPr>
              <w:spacing w:after="60"/>
              <w:jc w:val="both"/>
              <w:rPr>
                <w:b/>
                <w:noProof/>
                <w:color w:val="003399" w:themeColor="text2"/>
                <w:lang w:val="en-GB"/>
              </w:rPr>
            </w:pPr>
            <w:r w:rsidRPr="004B6CD8">
              <w:rPr>
                <w:rFonts w:eastAsia="Times New Roman"/>
                <w:b/>
                <w:bCs/>
                <w:noProof/>
                <w:color w:val="003399" w:themeColor="text2"/>
                <w:lang w:val="en-GB" w:eastAsia="en-GB"/>
              </w:rPr>
              <w:t>2.</w:t>
            </w:r>
            <w:r w:rsidR="000F2B8B">
              <w:rPr>
                <w:rFonts w:eastAsia="Times New Roman"/>
                <w:b/>
                <w:bCs/>
                <w:noProof/>
                <w:color w:val="003399" w:themeColor="text2"/>
                <w:lang w:val="en-GB" w:eastAsia="en-GB"/>
              </w:rPr>
              <w:t>22</w:t>
            </w:r>
            <w:r w:rsidR="0032030F" w:rsidRPr="004B6CD8">
              <w:rPr>
                <w:rFonts w:eastAsia="Times New Roman"/>
                <w:b/>
                <w:bCs/>
                <w:noProof/>
                <w:color w:val="003399" w:themeColor="text2"/>
                <w:lang w:val="en-GB" w:eastAsia="en-GB"/>
              </w:rPr>
              <w:t>.</w:t>
            </w:r>
            <w:r w:rsidRPr="004B6CD8">
              <w:rPr>
                <w:rFonts w:eastAsia="Times New Roman"/>
                <w:b/>
                <w:bCs/>
                <w:noProof/>
                <w:color w:val="003399" w:themeColor="text2"/>
                <w:lang w:val="en-GB" w:eastAsia="en-GB"/>
              </w:rPr>
              <w:t xml:space="preserve"> </w:t>
            </w:r>
            <w:r w:rsidRPr="004B6CD8">
              <w:rPr>
                <w:rFonts w:eastAsia="Times New Roman"/>
                <w:noProof/>
                <w:lang w:val="en-GB" w:eastAsia="en-GB"/>
              </w:rPr>
              <w:t xml:space="preserve">Audit in </w:t>
            </w:r>
            <w:r w:rsidR="00237E7D" w:rsidRPr="004B6CD8">
              <w:rPr>
                <w:rFonts w:eastAsia="Times New Roman"/>
                <w:noProof/>
                <w:lang w:val="en-GB" w:eastAsia="en-GB"/>
              </w:rPr>
              <w:t>DGs SANTE, HERA and HaDEA - Early implementation of grants in the EU4Health Programme</w:t>
            </w:r>
          </w:p>
        </w:tc>
      </w:tr>
    </w:tbl>
    <w:p w14:paraId="4DF8F597" w14:textId="77777777" w:rsidR="0057062A" w:rsidRPr="004B6CD8" w:rsidRDefault="0057062A" w:rsidP="0057062A">
      <w:pPr>
        <w:rPr>
          <w:rFonts w:eastAsia="Calibri" w:cs="Times New Roman"/>
          <w:noProof/>
          <w:kern w:val="0"/>
          <w:lang w:val="en-GB"/>
          <w14:ligatures w14:val="none"/>
        </w:rPr>
      </w:pPr>
      <w:bookmarkStart w:id="142" w:name="_Toc11829467"/>
      <w:bookmarkStart w:id="143" w:name="_Toc131535819"/>
      <w:bookmarkEnd w:id="141"/>
    </w:p>
    <w:p w14:paraId="62F290AC" w14:textId="77777777" w:rsidR="0057062A" w:rsidRPr="004B6CD8" w:rsidRDefault="0057062A" w:rsidP="0057062A">
      <w:pPr>
        <w:jc w:val="center"/>
        <w:rPr>
          <w:rFonts w:eastAsia="Calibri" w:cs="Times New Roman"/>
          <w:noProof/>
          <w:color w:val="215E94"/>
          <w:kern w:val="0"/>
          <w:sz w:val="96"/>
          <w:lang w:val="en-GB"/>
          <w14:ligatures w14:val="none"/>
        </w:rPr>
        <w:sectPr w:rsidR="0057062A" w:rsidRPr="004B6CD8" w:rsidSect="0057062A">
          <w:headerReference w:type="even" r:id="rId48"/>
          <w:headerReference w:type="default" r:id="rId49"/>
          <w:footerReference w:type="even" r:id="rId50"/>
          <w:footerReference w:type="default" r:id="rId51"/>
          <w:headerReference w:type="first" r:id="rId52"/>
          <w:footerReference w:type="first" r:id="rId53"/>
          <w:endnotePr>
            <w:pos w:val="sectEnd"/>
            <w:numFmt w:val="lowerLetter"/>
          </w:endnotePr>
          <w:pgSz w:w="11907" w:h="16839" w:code="9"/>
          <w:pgMar w:top="1247" w:right="1417" w:bottom="1247" w:left="1417" w:header="680" w:footer="566" w:gutter="0"/>
          <w:cols w:space="720"/>
          <w:docGrid w:linePitch="272"/>
        </w:sectPr>
      </w:pPr>
    </w:p>
    <w:p w14:paraId="0EA50921" w14:textId="77777777" w:rsidR="0057062A" w:rsidRPr="004B6CD8" w:rsidRDefault="0057062A" w:rsidP="0057062A">
      <w:pPr>
        <w:rPr>
          <w:rFonts w:eastAsia="Calibri" w:cs="Times New Roman"/>
          <w:noProof/>
          <w:kern w:val="0"/>
          <w:lang w:val="en-GB"/>
          <w14:ligatures w14:val="none"/>
        </w:rPr>
      </w:pPr>
    </w:p>
    <w:p w14:paraId="6C5BE704" w14:textId="77777777" w:rsidR="0057062A" w:rsidRPr="004B6CD8" w:rsidRDefault="0057062A" w:rsidP="0057062A">
      <w:pPr>
        <w:rPr>
          <w:rFonts w:eastAsia="Calibri" w:cs="Times New Roman"/>
          <w:noProof/>
          <w:kern w:val="0"/>
          <w:lang w:val="en-GB"/>
          <w14:ligatures w14:val="none"/>
        </w:rPr>
      </w:pPr>
    </w:p>
    <w:p w14:paraId="1CBA6EDB" w14:textId="77777777" w:rsidR="0057062A" w:rsidRPr="004B6CD8" w:rsidRDefault="0057062A" w:rsidP="0057062A">
      <w:pPr>
        <w:rPr>
          <w:rFonts w:eastAsia="Calibri" w:cs="Times New Roman"/>
          <w:noProof/>
          <w:kern w:val="0"/>
          <w:lang w:val="en-GB"/>
          <w14:ligatures w14:val="none"/>
        </w:rPr>
      </w:pPr>
    </w:p>
    <w:p w14:paraId="373B7856" w14:textId="77777777" w:rsidR="0057062A" w:rsidRPr="004B6CD8" w:rsidRDefault="0057062A" w:rsidP="0057062A">
      <w:pPr>
        <w:rPr>
          <w:rFonts w:eastAsia="Calibri" w:cs="Times New Roman"/>
          <w:noProof/>
          <w:kern w:val="0"/>
          <w:lang w:val="en-GB"/>
          <w14:ligatures w14:val="none"/>
        </w:rPr>
      </w:pPr>
    </w:p>
    <w:p w14:paraId="7F845E98" w14:textId="77777777" w:rsidR="0057062A" w:rsidRPr="004B6CD8" w:rsidRDefault="0057062A" w:rsidP="0057062A">
      <w:pPr>
        <w:rPr>
          <w:rFonts w:eastAsia="Calibri" w:cs="Times New Roman"/>
          <w:noProof/>
          <w:kern w:val="0"/>
          <w:lang w:val="en-GB"/>
          <w14:ligatures w14:val="none"/>
        </w:rPr>
      </w:pPr>
    </w:p>
    <w:p w14:paraId="142DE7E1" w14:textId="77777777" w:rsidR="0057062A" w:rsidRPr="004B6CD8" w:rsidRDefault="0057062A" w:rsidP="0057062A">
      <w:pPr>
        <w:rPr>
          <w:rFonts w:eastAsia="Calibri" w:cs="Times New Roman"/>
          <w:noProof/>
          <w:kern w:val="0"/>
          <w:lang w:val="en-GB"/>
          <w14:ligatures w14:val="none"/>
        </w:rPr>
      </w:pPr>
    </w:p>
    <w:p w14:paraId="4025638D" w14:textId="77777777" w:rsidR="0057062A" w:rsidRPr="004B6CD8" w:rsidRDefault="0057062A" w:rsidP="0057062A">
      <w:pPr>
        <w:rPr>
          <w:rFonts w:eastAsia="Calibri" w:cs="Times New Roman"/>
          <w:noProof/>
          <w:kern w:val="0"/>
          <w:lang w:val="en-GB"/>
          <w14:ligatures w14:val="none"/>
        </w:rPr>
      </w:pPr>
    </w:p>
    <w:p w14:paraId="7568F6A1" w14:textId="77777777" w:rsidR="0057062A" w:rsidRPr="004B6CD8" w:rsidRDefault="0057062A" w:rsidP="0057062A">
      <w:pPr>
        <w:rPr>
          <w:rFonts w:eastAsia="Calibri" w:cs="Times New Roman"/>
          <w:noProof/>
          <w:kern w:val="0"/>
          <w:lang w:val="en-GB"/>
          <w14:ligatures w14:val="none"/>
        </w:rPr>
      </w:pPr>
    </w:p>
    <w:p w14:paraId="56CA7998" w14:textId="77777777" w:rsidR="0057062A" w:rsidRPr="004B6CD8" w:rsidRDefault="0057062A" w:rsidP="0057062A">
      <w:pPr>
        <w:rPr>
          <w:rFonts w:eastAsia="Calibri" w:cs="Times New Roman"/>
          <w:noProof/>
          <w:kern w:val="0"/>
          <w:lang w:val="en-GB"/>
          <w14:ligatures w14:val="none"/>
        </w:rPr>
      </w:pPr>
    </w:p>
    <w:p w14:paraId="30A7A6D8" w14:textId="77777777" w:rsidR="0057062A" w:rsidRPr="004B6CD8" w:rsidRDefault="0057062A" w:rsidP="0057062A">
      <w:pPr>
        <w:rPr>
          <w:rFonts w:eastAsia="Calibri" w:cs="Times New Roman"/>
          <w:noProof/>
          <w:kern w:val="0"/>
          <w:lang w:val="en-GB"/>
          <w14:ligatures w14:val="none"/>
        </w:rPr>
      </w:pPr>
    </w:p>
    <w:p w14:paraId="2AB87227" w14:textId="77777777" w:rsidR="0057062A" w:rsidRPr="004B6CD8" w:rsidRDefault="0057062A" w:rsidP="0057062A">
      <w:pPr>
        <w:rPr>
          <w:rFonts w:eastAsia="Calibri" w:cs="Times New Roman"/>
          <w:noProof/>
          <w:kern w:val="0"/>
          <w:lang w:val="en-GB"/>
          <w14:ligatures w14:val="none"/>
        </w:rPr>
      </w:pPr>
    </w:p>
    <w:p w14:paraId="0100192A" w14:textId="77777777" w:rsidR="0057062A" w:rsidRPr="004B6CD8" w:rsidRDefault="0057062A" w:rsidP="0057062A">
      <w:pPr>
        <w:rPr>
          <w:rFonts w:eastAsia="Calibri" w:cs="Times New Roman"/>
          <w:noProof/>
          <w:kern w:val="0"/>
          <w:lang w:val="en-GB"/>
          <w14:ligatures w14:val="none"/>
        </w:rPr>
      </w:pPr>
    </w:p>
    <w:p w14:paraId="7BD20F4F" w14:textId="77777777" w:rsidR="0057062A" w:rsidRPr="004B6CD8" w:rsidRDefault="0057062A" w:rsidP="0057062A">
      <w:pPr>
        <w:rPr>
          <w:rFonts w:eastAsia="Calibri" w:cs="Times New Roman"/>
          <w:noProof/>
          <w:kern w:val="0"/>
          <w:lang w:val="en-GB"/>
          <w14:ligatures w14:val="none"/>
        </w:rPr>
      </w:pPr>
    </w:p>
    <w:p w14:paraId="44A24C9A" w14:textId="77777777" w:rsidR="0057062A" w:rsidRPr="004B6CD8" w:rsidRDefault="0057062A" w:rsidP="0057062A">
      <w:pPr>
        <w:rPr>
          <w:rFonts w:eastAsia="Calibri" w:cs="Times New Roman"/>
          <w:noProof/>
          <w:kern w:val="0"/>
          <w:lang w:val="en-GB"/>
          <w14:ligatures w14:val="none"/>
        </w:rPr>
      </w:pPr>
    </w:p>
    <w:p w14:paraId="21617B8D" w14:textId="77777777" w:rsidR="0057062A" w:rsidRPr="004B6CD8" w:rsidRDefault="0057062A" w:rsidP="0057062A">
      <w:pPr>
        <w:rPr>
          <w:rFonts w:eastAsia="Calibri" w:cs="Times New Roman"/>
          <w:noProof/>
          <w:kern w:val="0"/>
          <w:lang w:val="en-GB"/>
          <w14:ligatures w14:val="none"/>
        </w:rPr>
      </w:pPr>
    </w:p>
    <w:p w14:paraId="33CD8E44" w14:textId="77777777" w:rsidR="0057062A" w:rsidRPr="004B6CD8" w:rsidRDefault="0057062A" w:rsidP="0057062A">
      <w:pPr>
        <w:rPr>
          <w:rFonts w:eastAsia="Calibri" w:cs="Times New Roman"/>
          <w:noProof/>
          <w:kern w:val="0"/>
          <w:lang w:val="en-GB"/>
          <w14:ligatures w14:val="none"/>
        </w:rPr>
      </w:pPr>
    </w:p>
    <w:p w14:paraId="6FD78976" w14:textId="77777777" w:rsidR="0057062A" w:rsidRPr="004B6CD8" w:rsidRDefault="0057062A" w:rsidP="0057062A">
      <w:pPr>
        <w:rPr>
          <w:rFonts w:eastAsia="Calibri" w:cs="Times New Roman"/>
          <w:noProof/>
          <w:kern w:val="0"/>
          <w:lang w:val="en-GB"/>
          <w14:ligatures w14:val="none"/>
        </w:rPr>
      </w:pPr>
    </w:p>
    <w:p w14:paraId="16EBCAEA" w14:textId="618159BF" w:rsidR="0057062A" w:rsidRPr="004B6CD8" w:rsidRDefault="0057062A" w:rsidP="00883D7A">
      <w:pPr>
        <w:pStyle w:val="amprH1Sectiontitle"/>
        <w:rPr>
          <w:noProof/>
        </w:rPr>
      </w:pPr>
      <w:bookmarkStart w:id="144" w:name="_Toc134804315"/>
      <w:bookmarkStart w:id="145" w:name="_Toc196835234"/>
      <w:bookmarkStart w:id="146" w:name="_Toc231235471"/>
      <w:r w:rsidRPr="004B6CD8">
        <w:rPr>
          <w:noProof/>
        </w:rPr>
        <w:t>Part 3</w:t>
      </w:r>
      <w:r w:rsidR="00883D7A" w:rsidRPr="004B6CD8">
        <w:rPr>
          <w:noProof/>
        </w:rPr>
        <w:br/>
      </w:r>
      <w:r w:rsidRPr="004B6CD8">
        <w:rPr>
          <w:noProof/>
        </w:rPr>
        <w:t>Summary of long</w:t>
      </w:r>
      <w:r w:rsidR="00883D7A">
        <w:rPr>
          <w:rFonts w:ascii="Calibri" w:hAnsi="Calibri" w:cs="Calibri"/>
          <w:noProof/>
        </w:rPr>
        <w:t> </w:t>
      </w:r>
      <w:r w:rsidRPr="004B6CD8">
        <w:rPr>
          <w:noProof/>
        </w:rPr>
        <w:t>overdue recommendations</w:t>
      </w:r>
      <w:bookmarkEnd w:id="142"/>
      <w:bookmarkEnd w:id="143"/>
      <w:bookmarkEnd w:id="144"/>
      <w:bookmarkEnd w:id="145"/>
      <w:bookmarkEnd w:id="146"/>
    </w:p>
    <w:p w14:paraId="5B9BB74E" w14:textId="77777777" w:rsidR="0057062A" w:rsidRPr="004B6CD8" w:rsidRDefault="0057062A" w:rsidP="0057062A">
      <w:pPr>
        <w:spacing w:line="240" w:lineRule="auto"/>
        <w:jc w:val="both"/>
        <w:rPr>
          <w:rFonts w:eastAsia="Times New Roman" w:cs="Times New Roman"/>
          <w:noProof/>
          <w:kern w:val="0"/>
          <w:szCs w:val="16"/>
          <w:lang w:val="en-GB" w:eastAsia="en-GB"/>
          <w14:ligatures w14:val="none"/>
        </w:rPr>
        <w:sectPr w:rsidR="0057062A" w:rsidRPr="004B6CD8" w:rsidSect="0057062A">
          <w:headerReference w:type="even" r:id="rId54"/>
          <w:headerReference w:type="default" r:id="rId55"/>
          <w:footerReference w:type="even" r:id="rId56"/>
          <w:footerReference w:type="default" r:id="rId57"/>
          <w:headerReference w:type="first" r:id="rId58"/>
          <w:footerReference w:type="first" r:id="rId59"/>
          <w:endnotePr>
            <w:pos w:val="sectEnd"/>
            <w:numFmt w:val="lowerLetter"/>
          </w:endnotePr>
          <w:pgSz w:w="11907" w:h="16839" w:code="9"/>
          <w:pgMar w:top="1247" w:right="1417" w:bottom="1247" w:left="1417" w:header="680" w:footer="566" w:gutter="0"/>
          <w:cols w:space="720"/>
          <w:docGrid w:linePitch="272"/>
        </w:sectPr>
      </w:pPr>
    </w:p>
    <w:p w14:paraId="7FD40A91" w14:textId="37ECB888" w:rsidR="0057062A" w:rsidRPr="004B6CD8" w:rsidRDefault="0057062A" w:rsidP="0057062A">
      <w:pPr>
        <w:jc w:val="both"/>
        <w:rPr>
          <w:rFonts w:eastAsia="Calibri" w:cs="Times New Roman"/>
          <w:noProof/>
          <w:kern w:val="0"/>
          <w:lang w:val="en-GB"/>
          <w14:ligatures w14:val="none"/>
        </w:rPr>
      </w:pPr>
      <w:r w:rsidRPr="004B6CD8">
        <w:rPr>
          <w:rFonts w:eastAsia="Calibri" w:cs="Times New Roman"/>
          <w:noProof/>
          <w:kern w:val="0"/>
          <w:lang w:val="en-GB"/>
          <w14:ligatures w14:val="none"/>
        </w:rPr>
        <w:t xml:space="preserve">At the end of the reporting period, 31 </w:t>
      </w:r>
      <w:r w:rsidR="00925FD2" w:rsidRPr="004B6CD8">
        <w:rPr>
          <w:rFonts w:eastAsia="Calibri" w:cs="Times New Roman"/>
          <w:noProof/>
          <w:kern w:val="0"/>
          <w:lang w:val="en-GB"/>
          <w14:ligatures w14:val="none"/>
        </w:rPr>
        <w:t>December</w:t>
      </w:r>
      <w:r w:rsidRPr="004B6CD8">
        <w:rPr>
          <w:rFonts w:eastAsia="Calibri" w:cs="Times New Roman"/>
          <w:noProof/>
          <w:kern w:val="0"/>
          <w:lang w:val="en-GB"/>
          <w14:ligatures w14:val="none"/>
        </w:rPr>
        <w:t xml:space="preserve"> 202</w:t>
      </w:r>
      <w:r w:rsidR="00C02273" w:rsidRPr="004B6CD8">
        <w:rPr>
          <w:rFonts w:eastAsia="Calibri" w:cs="Times New Roman"/>
          <w:noProof/>
          <w:kern w:val="0"/>
          <w:lang w:val="en-GB"/>
          <w14:ligatures w14:val="none"/>
        </w:rPr>
        <w:t>5</w:t>
      </w:r>
      <w:r w:rsidRPr="004B6CD8">
        <w:rPr>
          <w:rFonts w:eastAsia="Calibri" w:cs="Times New Roman"/>
          <w:noProof/>
          <w:kern w:val="0"/>
          <w:lang w:val="en-GB"/>
          <w14:ligatures w14:val="none"/>
        </w:rPr>
        <w:t xml:space="preserve">, there were </w:t>
      </w:r>
      <w:r w:rsidR="00925FD2" w:rsidRPr="004B6CD8">
        <w:rPr>
          <w:rFonts w:eastAsia="Calibri" w:cs="Times New Roman"/>
          <w:noProof/>
          <w:kern w:val="0"/>
          <w:lang w:val="en-GB"/>
          <w14:ligatures w14:val="none"/>
        </w:rPr>
        <w:t>five</w:t>
      </w:r>
      <w:r w:rsidRPr="004B6CD8">
        <w:rPr>
          <w:rFonts w:eastAsia="Calibri" w:cs="Times New Roman"/>
          <w:noProof/>
          <w:kern w:val="0"/>
          <w:lang w:val="en-GB"/>
          <w14:ligatures w14:val="none"/>
        </w:rPr>
        <w:t xml:space="preserve"> very important long overdue recommendations, overdue by more than six months compared to the original expected completion dates set in the auditees’ initial action plans. </w:t>
      </w:r>
      <w:bookmarkStart w:id="147" w:name="_Hlk197334644"/>
    </w:p>
    <w:tbl>
      <w:tblPr>
        <w:tblpPr w:leftFromText="180" w:rightFromText="180" w:vertAnchor="text" w:horzAnchor="margin" w:tblpY="86"/>
        <w:tblW w:w="4941" w:type="pct"/>
        <w:tblBorders>
          <w:insideH w:val="single" w:sz="4" w:space="0" w:color="D9D9D9"/>
          <w:insideV w:val="single" w:sz="4" w:space="0" w:color="D9D9D9"/>
        </w:tblBorders>
        <w:tblLook w:val="0400" w:firstRow="0" w:lastRow="0" w:firstColumn="0" w:lastColumn="0" w:noHBand="0" w:noVBand="1"/>
      </w:tblPr>
      <w:tblGrid>
        <w:gridCol w:w="748"/>
        <w:gridCol w:w="81"/>
        <w:gridCol w:w="974"/>
        <w:gridCol w:w="31"/>
        <w:gridCol w:w="232"/>
        <w:gridCol w:w="2546"/>
        <w:gridCol w:w="232"/>
        <w:gridCol w:w="2510"/>
        <w:gridCol w:w="242"/>
        <w:gridCol w:w="1497"/>
        <w:gridCol w:w="1815"/>
        <w:gridCol w:w="51"/>
        <w:gridCol w:w="1766"/>
        <w:gridCol w:w="45"/>
        <w:gridCol w:w="1406"/>
      </w:tblGrid>
      <w:tr w:rsidR="00E503F3" w:rsidRPr="004B6CD8" w14:paraId="5EC255AF" w14:textId="77777777" w:rsidTr="00523320">
        <w:trPr>
          <w:cantSplit/>
          <w:trHeight w:val="473"/>
        </w:trPr>
        <w:tc>
          <w:tcPr>
            <w:tcW w:w="756" w:type="dxa"/>
            <w:tcBorders>
              <w:bottom w:val="single" w:sz="4" w:space="0" w:color="D9D9D9"/>
            </w:tcBorders>
            <w:shd w:val="clear" w:color="auto" w:fill="003399" w:themeFill="text2"/>
            <w:vAlign w:val="center"/>
            <w:hideMark/>
          </w:tcPr>
          <w:p w14:paraId="04A657B6" w14:textId="77777777" w:rsidR="0057062A" w:rsidRPr="004B6CD8" w:rsidRDefault="0057062A" w:rsidP="0057062A">
            <w:pPr>
              <w:spacing w:after="120"/>
              <w:ind w:right="-108"/>
              <w:rPr>
                <w:rFonts w:eastAsia="Calibri" w:cs="Times New Roman"/>
                <w:noProof/>
                <w:color w:val="FFFFFF"/>
                <w:kern w:val="0"/>
                <w:szCs w:val="24"/>
                <w:lang w:val="en-GB"/>
                <w14:ligatures w14:val="none"/>
              </w:rPr>
            </w:pPr>
            <w:r w:rsidRPr="004B6CD8">
              <w:rPr>
                <w:rFonts w:eastAsia="Calibri" w:cs="Times New Roman"/>
                <w:b/>
                <w:noProof/>
                <w:color w:val="FFFFFF"/>
                <w:kern w:val="0"/>
                <w:szCs w:val="24"/>
                <w:lang w:val="en-GB"/>
                <w14:ligatures w14:val="none"/>
              </w:rPr>
              <w:t>No.</w:t>
            </w:r>
          </w:p>
        </w:tc>
        <w:tc>
          <w:tcPr>
            <w:tcW w:w="1096" w:type="dxa"/>
            <w:gridSpan w:val="3"/>
            <w:tcBorders>
              <w:bottom w:val="single" w:sz="4" w:space="0" w:color="D9D9D9"/>
            </w:tcBorders>
            <w:shd w:val="clear" w:color="auto" w:fill="003399" w:themeFill="text2"/>
            <w:vAlign w:val="center"/>
            <w:hideMark/>
          </w:tcPr>
          <w:p w14:paraId="7C7F9E7B" w14:textId="77777777" w:rsidR="0057062A" w:rsidRPr="004B6CD8" w:rsidRDefault="0057062A" w:rsidP="0057062A">
            <w:pPr>
              <w:spacing w:after="120"/>
              <w:rPr>
                <w:rFonts w:eastAsia="Calibri" w:cs="Times New Roman"/>
                <w:noProof/>
                <w:color w:val="FFFFFF"/>
                <w:kern w:val="0"/>
                <w:szCs w:val="24"/>
                <w:lang w:val="en-GB"/>
                <w14:ligatures w14:val="none"/>
              </w:rPr>
            </w:pPr>
            <w:r w:rsidRPr="004B6CD8">
              <w:rPr>
                <w:rFonts w:eastAsia="Calibri" w:cs="Times New Roman"/>
                <w:b/>
                <w:noProof/>
                <w:color w:val="FFFFFF"/>
                <w:kern w:val="0"/>
                <w:szCs w:val="24"/>
                <w:lang w:val="en-GB"/>
                <w14:ligatures w14:val="none"/>
              </w:rPr>
              <w:t>Entity</w:t>
            </w:r>
          </w:p>
        </w:tc>
        <w:tc>
          <w:tcPr>
            <w:tcW w:w="2700" w:type="dxa"/>
            <w:gridSpan w:val="2"/>
            <w:tcBorders>
              <w:bottom w:val="single" w:sz="4" w:space="0" w:color="D9D9D9"/>
            </w:tcBorders>
            <w:shd w:val="clear" w:color="auto" w:fill="003399" w:themeFill="text2"/>
            <w:vAlign w:val="center"/>
            <w:hideMark/>
          </w:tcPr>
          <w:p w14:paraId="46EFCBD2" w14:textId="77777777" w:rsidR="0057062A" w:rsidRPr="004B6CD8" w:rsidRDefault="0057062A" w:rsidP="0057062A">
            <w:pPr>
              <w:spacing w:after="120"/>
              <w:rPr>
                <w:rFonts w:eastAsia="Calibri" w:cs="Times New Roman"/>
                <w:noProof/>
                <w:color w:val="FFFFFF"/>
                <w:kern w:val="0"/>
                <w:szCs w:val="24"/>
                <w:lang w:val="en-GB"/>
                <w14:ligatures w14:val="none"/>
              </w:rPr>
            </w:pPr>
            <w:r w:rsidRPr="004B6CD8">
              <w:rPr>
                <w:rFonts w:eastAsia="Calibri" w:cs="Times New Roman"/>
                <w:b/>
                <w:noProof/>
                <w:color w:val="FFFFFF"/>
                <w:kern w:val="0"/>
                <w:szCs w:val="24"/>
                <w:lang w:val="en-GB"/>
                <w14:ligatures w14:val="none"/>
              </w:rPr>
              <w:t>Audit title</w:t>
            </w:r>
          </w:p>
        </w:tc>
        <w:tc>
          <w:tcPr>
            <w:tcW w:w="2765" w:type="dxa"/>
            <w:gridSpan w:val="2"/>
            <w:tcBorders>
              <w:bottom w:val="single" w:sz="4" w:space="0" w:color="D9D9D9"/>
            </w:tcBorders>
            <w:shd w:val="clear" w:color="auto" w:fill="003399" w:themeFill="text2"/>
            <w:vAlign w:val="center"/>
            <w:hideMark/>
          </w:tcPr>
          <w:p w14:paraId="786B09EF" w14:textId="77777777" w:rsidR="0057062A" w:rsidRPr="004B6CD8" w:rsidRDefault="0057062A" w:rsidP="0057062A">
            <w:pPr>
              <w:spacing w:after="120"/>
              <w:rPr>
                <w:rFonts w:eastAsia="Calibri" w:cs="Times New Roman"/>
                <w:noProof/>
                <w:color w:val="FFFFFF"/>
                <w:kern w:val="0"/>
                <w:szCs w:val="24"/>
                <w:lang w:val="en-GB"/>
                <w14:ligatures w14:val="none"/>
              </w:rPr>
            </w:pPr>
            <w:r w:rsidRPr="004B6CD8">
              <w:rPr>
                <w:rFonts w:eastAsia="Calibri" w:cs="Times New Roman"/>
                <w:b/>
                <w:noProof/>
                <w:color w:val="FFFFFF"/>
                <w:kern w:val="0"/>
                <w:szCs w:val="24"/>
                <w:lang w:val="en-GB"/>
                <w14:ligatures w14:val="none"/>
              </w:rPr>
              <w:t>Recommendation title</w:t>
            </w:r>
          </w:p>
        </w:tc>
        <w:tc>
          <w:tcPr>
            <w:tcW w:w="1737" w:type="dxa"/>
            <w:gridSpan w:val="2"/>
            <w:tcBorders>
              <w:bottom w:val="single" w:sz="4" w:space="0" w:color="D9D9D9"/>
            </w:tcBorders>
            <w:shd w:val="clear" w:color="auto" w:fill="003399" w:themeFill="text2"/>
            <w:vAlign w:val="center"/>
            <w:hideMark/>
          </w:tcPr>
          <w:p w14:paraId="3D68FD13" w14:textId="77777777" w:rsidR="0057062A" w:rsidRPr="004B6CD8" w:rsidRDefault="0057062A" w:rsidP="0057062A">
            <w:pPr>
              <w:spacing w:after="120"/>
              <w:jc w:val="center"/>
              <w:rPr>
                <w:rFonts w:eastAsia="Calibri" w:cs="Times New Roman"/>
                <w:noProof/>
                <w:color w:val="FFFFFF"/>
                <w:kern w:val="0"/>
                <w:szCs w:val="24"/>
                <w:lang w:val="en-GB"/>
                <w14:ligatures w14:val="none"/>
              </w:rPr>
            </w:pPr>
            <w:r w:rsidRPr="004B6CD8">
              <w:rPr>
                <w:rFonts w:eastAsia="Calibri" w:cs="Times New Roman"/>
                <w:b/>
                <w:noProof/>
                <w:color w:val="FFFFFF"/>
                <w:kern w:val="0"/>
                <w:szCs w:val="24"/>
                <w:lang w:val="en-GB"/>
                <w14:ligatures w14:val="none"/>
              </w:rPr>
              <w:t>Final report date</w:t>
            </w:r>
          </w:p>
        </w:tc>
        <w:tc>
          <w:tcPr>
            <w:tcW w:w="1834" w:type="dxa"/>
            <w:tcBorders>
              <w:bottom w:val="single" w:sz="4" w:space="0" w:color="D9D9D9"/>
            </w:tcBorders>
            <w:shd w:val="clear" w:color="auto" w:fill="003399" w:themeFill="text2"/>
            <w:vAlign w:val="center"/>
          </w:tcPr>
          <w:p w14:paraId="7FC1A76D" w14:textId="77777777" w:rsidR="0057062A" w:rsidRPr="004B6CD8" w:rsidRDefault="0057062A" w:rsidP="0057062A">
            <w:pPr>
              <w:spacing w:after="120"/>
              <w:jc w:val="center"/>
              <w:rPr>
                <w:rFonts w:eastAsia="Calibri" w:cs="Times New Roman"/>
                <w:b/>
                <w:noProof/>
                <w:color w:val="FFFFFF"/>
                <w:kern w:val="0"/>
                <w:szCs w:val="24"/>
                <w:lang w:val="en-GB"/>
                <w14:ligatures w14:val="none"/>
              </w:rPr>
            </w:pPr>
            <w:r w:rsidRPr="004B6CD8">
              <w:rPr>
                <w:rFonts w:eastAsia="Calibri" w:cs="Times New Roman"/>
                <w:b/>
                <w:noProof/>
                <w:color w:val="FFFFFF"/>
                <w:kern w:val="0"/>
                <w:szCs w:val="24"/>
                <w:lang w:val="en-GB"/>
                <w14:ligatures w14:val="none"/>
              </w:rPr>
              <w:t>Original agreed completion date</w:t>
            </w:r>
          </w:p>
        </w:tc>
        <w:tc>
          <w:tcPr>
            <w:tcW w:w="1834" w:type="dxa"/>
            <w:gridSpan w:val="2"/>
            <w:tcBorders>
              <w:bottom w:val="single" w:sz="4" w:space="0" w:color="D9D9D9"/>
            </w:tcBorders>
            <w:shd w:val="clear" w:color="auto" w:fill="003399" w:themeFill="text2"/>
            <w:vAlign w:val="center"/>
            <w:hideMark/>
          </w:tcPr>
          <w:p w14:paraId="43410585" w14:textId="77777777" w:rsidR="0057062A" w:rsidRPr="004B6CD8" w:rsidRDefault="0057062A" w:rsidP="0057062A">
            <w:pPr>
              <w:spacing w:after="120"/>
              <w:jc w:val="center"/>
              <w:rPr>
                <w:rFonts w:eastAsia="Calibri" w:cs="Times New Roman"/>
                <w:b/>
                <w:noProof/>
                <w:color w:val="FFFFFF"/>
                <w:kern w:val="0"/>
                <w:szCs w:val="24"/>
                <w:lang w:val="en-GB"/>
                <w14:ligatures w14:val="none"/>
              </w:rPr>
            </w:pPr>
            <w:r w:rsidRPr="004B6CD8">
              <w:rPr>
                <w:rFonts w:eastAsia="Calibri" w:cs="Times New Roman"/>
                <w:b/>
                <w:noProof/>
                <w:color w:val="FFFFFF"/>
                <w:kern w:val="0"/>
                <w:szCs w:val="24"/>
                <w:lang w:val="en-GB"/>
                <w14:ligatures w14:val="none"/>
              </w:rPr>
              <w:t>Revised expected completion date</w:t>
            </w:r>
          </w:p>
        </w:tc>
        <w:tc>
          <w:tcPr>
            <w:tcW w:w="1454" w:type="dxa"/>
            <w:gridSpan w:val="2"/>
            <w:tcBorders>
              <w:bottom w:val="single" w:sz="4" w:space="0" w:color="D9D9D9"/>
            </w:tcBorders>
            <w:shd w:val="clear" w:color="auto" w:fill="003399" w:themeFill="text2"/>
            <w:vAlign w:val="center"/>
          </w:tcPr>
          <w:p w14:paraId="307DA226" w14:textId="77777777" w:rsidR="0057062A" w:rsidRPr="004B6CD8" w:rsidRDefault="0057062A" w:rsidP="00CB752A">
            <w:pPr>
              <w:spacing w:after="120"/>
              <w:rPr>
                <w:rFonts w:eastAsia="Calibri" w:cs="Times New Roman"/>
                <w:b/>
                <w:noProof/>
                <w:color w:val="FFFFFF"/>
                <w:kern w:val="0"/>
                <w:szCs w:val="24"/>
                <w:lang w:val="en-GB"/>
                <w14:ligatures w14:val="none"/>
              </w:rPr>
            </w:pPr>
            <w:r w:rsidRPr="004B6CD8">
              <w:rPr>
                <w:rFonts w:eastAsia="Calibri" w:cs="Times New Roman"/>
                <w:b/>
                <w:noProof/>
                <w:color w:val="FFFFFF"/>
                <w:kern w:val="0"/>
                <w:szCs w:val="24"/>
                <w:lang w:val="en-GB"/>
                <w14:ligatures w14:val="none"/>
              </w:rPr>
              <w:t>Expected delay</w:t>
            </w:r>
          </w:p>
        </w:tc>
      </w:tr>
      <w:tr w:rsidR="0057062A" w:rsidRPr="004B6CD8" w14:paraId="6059CCFA" w14:textId="77777777" w:rsidTr="00523320">
        <w:trPr>
          <w:cantSplit/>
          <w:trHeight w:val="220"/>
        </w:trPr>
        <w:tc>
          <w:tcPr>
            <w:tcW w:w="756" w:type="dxa"/>
            <w:tcBorders>
              <w:top w:val="single" w:sz="4" w:space="0" w:color="D9D9D9"/>
              <w:bottom w:val="single" w:sz="4" w:space="0" w:color="D9D9D9"/>
            </w:tcBorders>
            <w:hideMark/>
          </w:tcPr>
          <w:p w14:paraId="605DF828" w14:textId="77777777" w:rsidR="0057062A" w:rsidRPr="004B6CD8" w:rsidRDefault="0057062A" w:rsidP="0057062A">
            <w:pPr>
              <w:spacing w:before="60" w:after="60"/>
              <w:rPr>
                <w:rFonts w:eastAsia="Calibri" w:cs="Times New Roman"/>
                <w:b/>
                <w:noProof/>
                <w:kern w:val="0"/>
                <w:szCs w:val="24"/>
                <w:lang w:val="en-GB"/>
                <w14:ligatures w14:val="none"/>
              </w:rPr>
            </w:pPr>
            <w:r w:rsidRPr="004B6CD8">
              <w:rPr>
                <w:rFonts w:eastAsia="Calibri" w:cs="Times New Roman"/>
                <w:b/>
                <w:noProof/>
                <w:kern w:val="0"/>
                <w:szCs w:val="24"/>
                <w:lang w:val="en-GB"/>
                <w14:ligatures w14:val="none"/>
              </w:rPr>
              <w:t>I</w:t>
            </w:r>
          </w:p>
        </w:tc>
        <w:tc>
          <w:tcPr>
            <w:tcW w:w="1096" w:type="dxa"/>
            <w:gridSpan w:val="3"/>
            <w:tcBorders>
              <w:top w:val="single" w:sz="4" w:space="0" w:color="D9D9D9"/>
              <w:bottom w:val="single" w:sz="4" w:space="0" w:color="D9D9D9"/>
            </w:tcBorders>
          </w:tcPr>
          <w:p w14:paraId="100611B7" w14:textId="5AE11B13" w:rsidR="0057062A" w:rsidRPr="004B6CD8" w:rsidRDefault="00D8118C" w:rsidP="0057062A">
            <w:pPr>
              <w:spacing w:before="60" w:after="60"/>
              <w:rPr>
                <w:rFonts w:eastAsia="Calibri" w:cs="Times New Roman"/>
                <w:noProof/>
                <w:kern w:val="0"/>
                <w:szCs w:val="24"/>
                <w:lang w:val="en-GB"/>
                <w14:ligatures w14:val="none"/>
              </w:rPr>
            </w:pPr>
            <w:r w:rsidRPr="004B6CD8">
              <w:rPr>
                <w:rFonts w:eastAsia="Calibri" w:cs="Times New Roman"/>
                <w:b/>
                <w:bCs/>
                <w:noProof/>
                <w:kern w:val="0"/>
                <w:szCs w:val="24"/>
                <w:lang w:val="en-GB"/>
                <w14:ligatures w14:val="none"/>
              </w:rPr>
              <w:t>FPI</w:t>
            </w:r>
            <w:r w:rsidR="0057062A" w:rsidRPr="004B6CD8">
              <w:rPr>
                <w:rFonts w:eastAsia="Calibri" w:cs="Times New Roman"/>
                <w:b/>
                <w:noProof/>
                <w:kern w:val="0"/>
                <w:szCs w:val="24"/>
                <w:lang w:val="en-GB"/>
                <w14:ligatures w14:val="none"/>
              </w:rPr>
              <w:t xml:space="preserve"> </w:t>
            </w:r>
          </w:p>
        </w:tc>
        <w:tc>
          <w:tcPr>
            <w:tcW w:w="2700" w:type="dxa"/>
            <w:gridSpan w:val="2"/>
            <w:tcBorders>
              <w:top w:val="single" w:sz="4" w:space="0" w:color="D9D9D9"/>
              <w:bottom w:val="single" w:sz="4" w:space="0" w:color="D9D9D9"/>
            </w:tcBorders>
          </w:tcPr>
          <w:p w14:paraId="53E264A2" w14:textId="64FFD160" w:rsidR="0057062A" w:rsidRPr="004B6CD8" w:rsidRDefault="00195254" w:rsidP="0057062A">
            <w:pPr>
              <w:spacing w:before="60" w:after="60"/>
              <w:rPr>
                <w:rFonts w:eastAsia="Calibri" w:cs="Times New Roman"/>
                <w:noProof/>
                <w:kern w:val="0"/>
                <w:szCs w:val="24"/>
                <w:lang w:val="en-GB"/>
                <w14:ligatures w14:val="none"/>
              </w:rPr>
            </w:pPr>
            <w:r w:rsidRPr="004B6CD8">
              <w:rPr>
                <w:noProof/>
                <w:lang w:val="en-GB"/>
              </w:rPr>
              <w:t>IAS.</w:t>
            </w:r>
            <w:r w:rsidR="00EF4C1F" w:rsidRPr="004B6CD8">
              <w:rPr>
                <w:noProof/>
                <w:lang w:val="en-GB"/>
              </w:rPr>
              <w:t>C4-2022-Y ENT-001: Allocation of human resources in EU Delegations</w:t>
            </w:r>
          </w:p>
        </w:tc>
        <w:tc>
          <w:tcPr>
            <w:tcW w:w="2765" w:type="dxa"/>
            <w:gridSpan w:val="2"/>
            <w:tcBorders>
              <w:top w:val="single" w:sz="4" w:space="0" w:color="D9D9D9"/>
              <w:bottom w:val="single" w:sz="4" w:space="0" w:color="D9D9D9"/>
            </w:tcBorders>
          </w:tcPr>
          <w:p w14:paraId="2F3B7BCF" w14:textId="72A74797" w:rsidR="0057062A" w:rsidRPr="004B6CD8" w:rsidRDefault="00D8118C" w:rsidP="0057062A">
            <w:pPr>
              <w:spacing w:before="60" w:after="60"/>
              <w:rPr>
                <w:rFonts w:eastAsia="Calibri" w:cs="Times New Roman"/>
                <w:b/>
                <w:noProof/>
                <w:kern w:val="0"/>
                <w:szCs w:val="24"/>
                <w:lang w:val="en-GB"/>
                <w14:ligatures w14:val="none"/>
              </w:rPr>
            </w:pPr>
            <w:r w:rsidRPr="004B6CD8">
              <w:rPr>
                <w:rFonts w:eastAsia="Calibri" w:cs="Times New Roman"/>
                <w:b/>
                <w:noProof/>
                <w:kern w:val="0"/>
                <w:szCs w:val="24"/>
                <w:lang w:val="en-GB"/>
                <w14:ligatures w14:val="none"/>
              </w:rPr>
              <w:t xml:space="preserve">Design and implementation of the </w:t>
            </w:r>
            <w:r w:rsidR="00762C83" w:rsidRPr="004B6CD8">
              <w:rPr>
                <w:rFonts w:eastAsia="Calibri" w:cs="Times New Roman"/>
                <w:b/>
                <w:noProof/>
                <w:kern w:val="0"/>
                <w:szCs w:val="24"/>
                <w:lang w:val="en-GB"/>
                <w14:ligatures w14:val="none"/>
              </w:rPr>
              <w:t>workload assessment in EU Delegations (WLAD)</w:t>
            </w:r>
          </w:p>
        </w:tc>
        <w:tc>
          <w:tcPr>
            <w:tcW w:w="1737" w:type="dxa"/>
            <w:gridSpan w:val="2"/>
            <w:tcBorders>
              <w:top w:val="single" w:sz="4" w:space="0" w:color="D9D9D9"/>
              <w:bottom w:val="single" w:sz="4" w:space="0" w:color="D9D9D9"/>
            </w:tcBorders>
          </w:tcPr>
          <w:p w14:paraId="18098FB0" w14:textId="2FB443DA" w:rsidR="0057062A" w:rsidRPr="004B6CD8" w:rsidRDefault="00D8118C" w:rsidP="00CB752A">
            <w:pPr>
              <w:spacing w:before="60" w:after="60"/>
              <w:rPr>
                <w:rFonts w:eastAsia="Calibri" w:cs="Times New Roman"/>
                <w:noProof/>
                <w:kern w:val="0"/>
                <w:szCs w:val="24"/>
                <w:lang w:val="en-GB"/>
                <w14:ligatures w14:val="none"/>
              </w:rPr>
            </w:pPr>
            <w:r w:rsidRPr="004B6CD8">
              <w:rPr>
                <w:rFonts w:eastAsia="Calibri" w:cs="Times New Roman"/>
                <w:noProof/>
                <w:kern w:val="0"/>
                <w:szCs w:val="24"/>
                <w:lang w:val="en-GB"/>
                <w14:ligatures w14:val="none"/>
              </w:rPr>
              <w:t>4.11.2024</w:t>
            </w:r>
          </w:p>
        </w:tc>
        <w:tc>
          <w:tcPr>
            <w:tcW w:w="1834" w:type="dxa"/>
            <w:tcBorders>
              <w:top w:val="single" w:sz="4" w:space="0" w:color="D9D9D9"/>
              <w:bottom w:val="single" w:sz="4" w:space="0" w:color="D9D9D9"/>
            </w:tcBorders>
          </w:tcPr>
          <w:p w14:paraId="41DA2476" w14:textId="44046F0D" w:rsidR="0057062A" w:rsidRPr="004B6CD8" w:rsidRDefault="00D8118C" w:rsidP="00CB752A">
            <w:pPr>
              <w:spacing w:before="60" w:after="60"/>
              <w:rPr>
                <w:rFonts w:eastAsia="Calibri" w:cs="Times New Roman"/>
                <w:noProof/>
                <w:kern w:val="0"/>
                <w:szCs w:val="24"/>
                <w:lang w:val="en-GB"/>
                <w14:ligatures w14:val="none"/>
              </w:rPr>
            </w:pPr>
            <w:r w:rsidRPr="004B6CD8">
              <w:rPr>
                <w:rFonts w:eastAsia="Calibri" w:cs="Times New Roman"/>
                <w:noProof/>
                <w:kern w:val="0"/>
                <w:szCs w:val="24"/>
                <w:lang w:val="en-GB"/>
                <w14:ligatures w14:val="none"/>
              </w:rPr>
              <w:t>30.4.2025</w:t>
            </w:r>
          </w:p>
        </w:tc>
        <w:tc>
          <w:tcPr>
            <w:tcW w:w="1834" w:type="dxa"/>
            <w:gridSpan w:val="2"/>
            <w:tcBorders>
              <w:top w:val="single" w:sz="4" w:space="0" w:color="D9D9D9"/>
              <w:bottom w:val="single" w:sz="4" w:space="0" w:color="D9D9D9"/>
            </w:tcBorders>
          </w:tcPr>
          <w:p w14:paraId="68B58E51" w14:textId="79253044" w:rsidR="0057062A" w:rsidRPr="004B6CD8" w:rsidRDefault="00D8118C" w:rsidP="00181908">
            <w:pPr>
              <w:spacing w:before="60" w:after="60"/>
              <w:rPr>
                <w:rFonts w:eastAsia="Calibri" w:cs="Times New Roman"/>
                <w:noProof/>
                <w:kern w:val="0"/>
                <w:szCs w:val="24"/>
                <w:lang w:val="en-GB"/>
                <w14:ligatures w14:val="none"/>
              </w:rPr>
            </w:pPr>
            <w:r w:rsidRPr="004B6CD8">
              <w:rPr>
                <w:rFonts w:eastAsia="Calibri" w:cs="Times New Roman"/>
                <w:noProof/>
                <w:kern w:val="0"/>
                <w:szCs w:val="24"/>
                <w:lang w:val="en-GB"/>
                <w14:ligatures w14:val="none"/>
              </w:rPr>
              <w:t>30.6.2026</w:t>
            </w:r>
          </w:p>
        </w:tc>
        <w:tc>
          <w:tcPr>
            <w:tcW w:w="1454" w:type="dxa"/>
            <w:gridSpan w:val="2"/>
            <w:tcBorders>
              <w:top w:val="single" w:sz="4" w:space="0" w:color="D9D9D9"/>
              <w:bottom w:val="single" w:sz="4" w:space="0" w:color="D9D9D9"/>
            </w:tcBorders>
          </w:tcPr>
          <w:p w14:paraId="1821B642" w14:textId="22B9AC26" w:rsidR="0057062A" w:rsidRPr="004B6CD8" w:rsidRDefault="00D8118C" w:rsidP="00CB752A">
            <w:pPr>
              <w:spacing w:before="60" w:after="60"/>
              <w:jc w:val="both"/>
              <w:rPr>
                <w:rFonts w:eastAsia="Calibri" w:cs="Times New Roman"/>
                <w:b/>
                <w:noProof/>
                <w:kern w:val="0"/>
                <w:szCs w:val="24"/>
                <w:lang w:val="en-GB"/>
                <w14:ligatures w14:val="none"/>
              </w:rPr>
            </w:pPr>
            <w:r w:rsidRPr="004B6CD8">
              <w:rPr>
                <w:rFonts w:eastAsia="Calibri" w:cs="Times New Roman"/>
                <w:b/>
                <w:noProof/>
                <w:kern w:val="0"/>
                <w:szCs w:val="24"/>
                <w:lang w:val="en-GB"/>
                <w14:ligatures w14:val="none"/>
              </w:rPr>
              <w:t>1 year and 2 months</w:t>
            </w:r>
          </w:p>
        </w:tc>
      </w:tr>
      <w:tr w:rsidR="00CB752A" w:rsidRPr="007F05B2" w14:paraId="0AB1A223" w14:textId="77777777" w:rsidTr="00523320">
        <w:trPr>
          <w:cantSplit/>
          <w:trHeight w:val="220"/>
        </w:trPr>
        <w:tc>
          <w:tcPr>
            <w:tcW w:w="14176" w:type="dxa"/>
            <w:gridSpan w:val="15"/>
            <w:tcBorders>
              <w:top w:val="single" w:sz="4" w:space="0" w:color="D9D9D9"/>
              <w:bottom w:val="single" w:sz="4" w:space="0" w:color="D9D9D9"/>
            </w:tcBorders>
          </w:tcPr>
          <w:p w14:paraId="3C63249C" w14:textId="6B9EEAB6" w:rsidR="00E53DB3" w:rsidRPr="004B6CD8" w:rsidRDefault="00CC0C09" w:rsidP="008A53FC">
            <w:pPr>
              <w:jc w:val="both"/>
              <w:rPr>
                <w:rFonts w:eastAsia="Calibri" w:cs="Times New Roman"/>
                <w:bCs/>
                <w:noProof/>
                <w:kern w:val="0"/>
                <w:szCs w:val="24"/>
                <w:lang w:val="en-GB"/>
                <w14:ligatures w14:val="none"/>
              </w:rPr>
            </w:pPr>
            <w:r w:rsidRPr="004B6CD8">
              <w:rPr>
                <w:rFonts w:eastAsia="Calibri" w:cs="Times New Roman"/>
                <w:bCs/>
                <w:noProof/>
                <w:kern w:val="0"/>
                <w:szCs w:val="24"/>
                <w:lang w:val="en-GB"/>
                <w14:ligatures w14:val="none"/>
              </w:rPr>
              <w:t xml:space="preserve">The issues identified in the design and implementation of the </w:t>
            </w:r>
            <w:r w:rsidR="003F460F" w:rsidRPr="004B6CD8">
              <w:rPr>
                <w:rFonts w:eastAsia="Calibri" w:cs="Times New Roman"/>
                <w:bCs/>
                <w:noProof/>
                <w:kern w:val="0"/>
                <w:szCs w:val="24"/>
                <w:lang w:val="en-GB"/>
                <w14:ligatures w14:val="none"/>
              </w:rPr>
              <w:t>workload assessment in EU Delegations (WLAD)</w:t>
            </w:r>
            <w:r w:rsidRPr="004B6CD8">
              <w:rPr>
                <w:rFonts w:eastAsia="Calibri" w:cs="Times New Roman"/>
                <w:bCs/>
                <w:noProof/>
                <w:kern w:val="0"/>
                <w:szCs w:val="24"/>
                <w:lang w:val="en-GB"/>
                <w14:ligatures w14:val="none"/>
              </w:rPr>
              <w:t xml:space="preserve"> has a partial impact on the</w:t>
            </w:r>
            <w:r w:rsidR="003F460F">
              <w:rPr>
                <w:rFonts w:eastAsia="Calibri" w:cs="Times New Roman"/>
                <w:bCs/>
                <w:noProof/>
                <w:kern w:val="0"/>
                <w:szCs w:val="24"/>
                <w:lang w:val="en-GB"/>
                <w14:ligatures w14:val="none"/>
              </w:rPr>
              <w:t>ir</w:t>
            </w:r>
            <w:r w:rsidRPr="004B6CD8">
              <w:rPr>
                <w:rFonts w:eastAsia="Calibri" w:cs="Times New Roman"/>
                <w:bCs/>
                <w:noProof/>
                <w:kern w:val="0"/>
                <w:szCs w:val="24"/>
                <w:lang w:val="en-GB"/>
                <w14:ligatures w14:val="none"/>
              </w:rPr>
              <w:t xml:space="preserve"> effectiveness. The IAS recommended </w:t>
            </w:r>
            <w:r w:rsidR="003F460F">
              <w:rPr>
                <w:rFonts w:eastAsia="Calibri" w:cs="Times New Roman"/>
                <w:bCs/>
                <w:noProof/>
                <w:kern w:val="0"/>
                <w:szCs w:val="24"/>
                <w:lang w:val="en-GB"/>
                <w14:ligatures w14:val="none"/>
              </w:rPr>
              <w:t xml:space="preserve">the agreement on </w:t>
            </w:r>
            <w:r w:rsidRPr="004B6CD8">
              <w:rPr>
                <w:rFonts w:eastAsia="Calibri" w:cs="Times New Roman"/>
                <w:bCs/>
                <w:noProof/>
                <w:kern w:val="0"/>
                <w:szCs w:val="24"/>
                <w:lang w:val="en-GB"/>
                <w14:ligatures w14:val="none"/>
              </w:rPr>
              <w:t>a methodology that allows for comparisons of EU</w:t>
            </w:r>
            <w:r w:rsidR="003F460F">
              <w:rPr>
                <w:rFonts w:eastAsia="Calibri" w:cs="Times New Roman"/>
                <w:bCs/>
                <w:noProof/>
                <w:kern w:val="0"/>
                <w:szCs w:val="24"/>
                <w:lang w:val="en-GB"/>
                <w14:ligatures w14:val="none"/>
              </w:rPr>
              <w:t xml:space="preserve"> </w:t>
            </w:r>
            <w:r w:rsidRPr="004B6CD8">
              <w:rPr>
                <w:rFonts w:eastAsia="Calibri" w:cs="Times New Roman"/>
                <w:bCs/>
                <w:noProof/>
                <w:kern w:val="0"/>
                <w:szCs w:val="24"/>
                <w:lang w:val="en-GB"/>
                <w14:ligatures w14:val="none"/>
              </w:rPr>
              <w:t>D</w:t>
            </w:r>
            <w:r w:rsidR="003F460F">
              <w:rPr>
                <w:rFonts w:eastAsia="Calibri" w:cs="Times New Roman"/>
                <w:bCs/>
                <w:noProof/>
                <w:kern w:val="0"/>
                <w:szCs w:val="24"/>
                <w:lang w:val="en-GB"/>
                <w14:ligatures w14:val="none"/>
              </w:rPr>
              <w:t>elegation</w:t>
            </w:r>
            <w:r w:rsidRPr="004B6CD8">
              <w:rPr>
                <w:rFonts w:eastAsia="Calibri" w:cs="Times New Roman"/>
                <w:bCs/>
                <w:noProof/>
                <w:kern w:val="0"/>
                <w:szCs w:val="24"/>
                <w:lang w:val="en-GB"/>
                <w14:ligatures w14:val="none"/>
              </w:rPr>
              <w:t>s at global</w:t>
            </w:r>
            <w:r w:rsidR="003F460F">
              <w:rPr>
                <w:rFonts w:eastAsia="Calibri" w:cs="Times New Roman"/>
                <w:bCs/>
                <w:noProof/>
                <w:kern w:val="0"/>
                <w:szCs w:val="24"/>
                <w:lang w:val="en-GB"/>
                <w14:ligatures w14:val="none"/>
              </w:rPr>
              <w:t xml:space="preserve"> level</w:t>
            </w:r>
            <w:r w:rsidRPr="004B6CD8">
              <w:rPr>
                <w:rFonts w:eastAsia="Calibri" w:cs="Times New Roman"/>
                <w:bCs/>
                <w:noProof/>
                <w:kern w:val="0"/>
                <w:szCs w:val="24"/>
                <w:lang w:val="en-GB"/>
                <w14:ligatures w14:val="none"/>
              </w:rPr>
              <w:t xml:space="preserve">, and </w:t>
            </w:r>
            <w:r w:rsidRPr="004B6CD8">
              <w:rPr>
                <w:noProof/>
                <w:lang w:val="en-GB"/>
              </w:rPr>
              <w:t xml:space="preserve">to </w:t>
            </w:r>
            <w:r w:rsidRPr="004B6CD8">
              <w:rPr>
                <w:rFonts w:eastAsia="Calibri" w:cs="Times New Roman"/>
                <w:bCs/>
                <w:noProof/>
                <w:kern w:val="0"/>
                <w:szCs w:val="24"/>
                <w:lang w:val="en-GB"/>
                <w14:ligatures w14:val="none"/>
              </w:rPr>
              <w:t>select the subset of key indicators that will contribute to the workload assessment, to improve the efficiency of the data collection process. FPI accepted the recommendation but highlighted that they would retain the sub-set of indicators from the audited WLAD exercise – staff/contract/million managed – for future exercises. Any change would not adequately reflect the FPI operating model that is not based on a ‘country’ model but on a regional network of staff deployed in five Regional Teams worldwide.</w:t>
            </w:r>
            <w:r w:rsidR="00EF4C1F" w:rsidRPr="004B6CD8">
              <w:rPr>
                <w:rFonts w:eastAsia="Calibri" w:cs="Times New Roman"/>
                <w:bCs/>
                <w:noProof/>
                <w:kern w:val="0"/>
                <w:szCs w:val="24"/>
                <w:lang w:val="en-GB"/>
                <w14:ligatures w14:val="none"/>
              </w:rPr>
              <w:t xml:space="preserve"> </w:t>
            </w:r>
          </w:p>
          <w:p w14:paraId="55B4BC73" w14:textId="0DD8EA76" w:rsidR="00390F27" w:rsidRDefault="00EF4C1F" w:rsidP="00390F27">
            <w:pPr>
              <w:jc w:val="both"/>
              <w:rPr>
                <w:noProof/>
                <w:color w:val="000000" w:themeColor="text1"/>
                <w:lang w:val="en-IE"/>
              </w:rPr>
            </w:pPr>
            <w:r w:rsidRPr="004B6CD8">
              <w:rPr>
                <w:rFonts w:eastAsia="Calibri" w:cs="Times New Roman"/>
                <w:bCs/>
                <w:noProof/>
                <w:kern w:val="0"/>
                <w:szCs w:val="24"/>
                <w:lang w:val="en-GB"/>
                <w14:ligatures w14:val="none"/>
              </w:rPr>
              <w:t>FPI further postponed the target date from 31</w:t>
            </w:r>
            <w:r w:rsidR="00762C83" w:rsidRPr="004B6CD8">
              <w:rPr>
                <w:rFonts w:eastAsia="Calibri" w:cs="Times New Roman"/>
                <w:bCs/>
                <w:noProof/>
                <w:kern w:val="0"/>
                <w:szCs w:val="24"/>
                <w:lang w:val="en-GB"/>
                <w14:ligatures w14:val="none"/>
              </w:rPr>
              <w:t xml:space="preserve"> December </w:t>
            </w:r>
            <w:r w:rsidRPr="004B6CD8">
              <w:rPr>
                <w:rFonts w:eastAsia="Calibri" w:cs="Times New Roman"/>
                <w:bCs/>
                <w:noProof/>
                <w:kern w:val="0"/>
                <w:szCs w:val="24"/>
                <w:lang w:val="en-GB"/>
                <w14:ligatures w14:val="none"/>
              </w:rPr>
              <w:t>2025 to 30</w:t>
            </w:r>
            <w:r w:rsidR="00762C83" w:rsidRPr="004B6CD8">
              <w:rPr>
                <w:rFonts w:eastAsia="Calibri" w:cs="Times New Roman"/>
                <w:bCs/>
                <w:noProof/>
                <w:kern w:val="0"/>
                <w:szCs w:val="24"/>
                <w:lang w:val="en-GB"/>
                <w14:ligatures w14:val="none"/>
              </w:rPr>
              <w:t xml:space="preserve"> June </w:t>
            </w:r>
            <w:r w:rsidRPr="004B6CD8">
              <w:rPr>
                <w:rFonts w:eastAsia="Calibri" w:cs="Times New Roman"/>
                <w:bCs/>
                <w:noProof/>
                <w:kern w:val="0"/>
                <w:szCs w:val="24"/>
                <w:lang w:val="en-GB"/>
                <w14:ligatures w14:val="none"/>
              </w:rPr>
              <w:t xml:space="preserve">2026. DG INTPA is in the lead for </w:t>
            </w:r>
            <w:r w:rsidR="003F460F">
              <w:rPr>
                <w:rFonts w:eastAsia="Calibri" w:cs="Times New Roman"/>
                <w:bCs/>
                <w:noProof/>
                <w:kern w:val="0"/>
                <w:szCs w:val="24"/>
                <w:lang w:val="en-GB"/>
                <w14:ligatures w14:val="none"/>
              </w:rPr>
              <w:t xml:space="preserve">the </w:t>
            </w:r>
            <w:r w:rsidRPr="004B6CD8">
              <w:rPr>
                <w:rFonts w:eastAsia="Calibri" w:cs="Times New Roman"/>
                <w:bCs/>
                <w:noProof/>
                <w:kern w:val="0"/>
                <w:szCs w:val="24"/>
                <w:lang w:val="en-GB"/>
                <w14:ligatures w14:val="none"/>
              </w:rPr>
              <w:t>implement</w:t>
            </w:r>
            <w:r w:rsidR="003F460F">
              <w:rPr>
                <w:rFonts w:eastAsia="Calibri" w:cs="Times New Roman"/>
                <w:bCs/>
                <w:noProof/>
                <w:kern w:val="0"/>
                <w:szCs w:val="24"/>
                <w:lang w:val="en-GB"/>
                <w14:ligatures w14:val="none"/>
              </w:rPr>
              <w:t>ation</w:t>
            </w:r>
            <w:r w:rsidRPr="004B6CD8">
              <w:rPr>
                <w:rFonts w:eastAsia="Calibri" w:cs="Times New Roman"/>
                <w:bCs/>
                <w:noProof/>
                <w:kern w:val="0"/>
                <w:szCs w:val="24"/>
                <w:lang w:val="en-GB"/>
                <w14:ligatures w14:val="none"/>
              </w:rPr>
              <w:t xml:space="preserve"> </w:t>
            </w:r>
            <w:r w:rsidR="003F460F">
              <w:rPr>
                <w:rFonts w:eastAsia="Calibri" w:cs="Times New Roman"/>
                <w:bCs/>
                <w:noProof/>
                <w:kern w:val="0"/>
                <w:szCs w:val="24"/>
                <w:lang w:val="en-GB"/>
                <w14:ligatures w14:val="none"/>
              </w:rPr>
              <w:t xml:space="preserve">of </w:t>
            </w:r>
            <w:r w:rsidRPr="004B6CD8">
              <w:rPr>
                <w:rFonts w:eastAsia="Calibri" w:cs="Times New Roman"/>
                <w:bCs/>
                <w:noProof/>
                <w:kern w:val="0"/>
                <w:szCs w:val="24"/>
                <w:lang w:val="en-GB"/>
                <w14:ligatures w14:val="none"/>
              </w:rPr>
              <w:t xml:space="preserve">this action for the whole external action family. DG INTPA has already taken steps to define </w:t>
            </w:r>
            <w:r w:rsidR="00425838" w:rsidRPr="008A53FC">
              <w:rPr>
                <w:noProof/>
                <w:color w:val="000000" w:themeColor="text1"/>
                <w:lang w:val="en-IE"/>
              </w:rPr>
              <w:t>the methodology and indicators, including workload</w:t>
            </w:r>
            <w:r w:rsidR="00425838">
              <w:rPr>
                <w:noProof/>
                <w:color w:val="000000" w:themeColor="text1"/>
                <w:lang w:val="en-IE"/>
              </w:rPr>
              <w:t xml:space="preserve">, </w:t>
            </w:r>
            <w:r w:rsidR="00425838">
              <w:rPr>
                <w:rFonts w:eastAsia="Calibri" w:cs="Times New Roman"/>
                <w:bCs/>
                <w:noProof/>
                <w:kern w:val="0"/>
                <w:szCs w:val="24"/>
                <w:lang w:val="en-GB"/>
                <w14:ligatures w14:val="none"/>
              </w:rPr>
              <w:t xml:space="preserve">reflecting </w:t>
            </w:r>
            <w:r w:rsidRPr="004B6CD8">
              <w:rPr>
                <w:rFonts w:eastAsia="Calibri" w:cs="Times New Roman"/>
                <w:bCs/>
                <w:noProof/>
                <w:kern w:val="0"/>
                <w:szCs w:val="24"/>
                <w:lang w:val="en-GB"/>
                <w14:ligatures w14:val="none"/>
              </w:rPr>
              <w:t>the specificities of international cooperation sections in delegations (including cooperation &amp; finance, contracts &amp; audit), allowing for a more detailed analysis of differences in EU</w:t>
            </w:r>
            <w:r w:rsidR="003F460F">
              <w:rPr>
                <w:rFonts w:eastAsia="Calibri" w:cs="Times New Roman"/>
                <w:bCs/>
                <w:noProof/>
                <w:kern w:val="0"/>
                <w:szCs w:val="24"/>
                <w:lang w:val="en-GB"/>
                <w14:ligatures w14:val="none"/>
              </w:rPr>
              <w:t xml:space="preserve"> </w:t>
            </w:r>
            <w:r w:rsidRPr="004B6CD8">
              <w:rPr>
                <w:rFonts w:eastAsia="Calibri" w:cs="Times New Roman"/>
                <w:bCs/>
                <w:noProof/>
                <w:kern w:val="0"/>
                <w:szCs w:val="24"/>
                <w:lang w:val="en-GB"/>
                <w14:ligatures w14:val="none"/>
              </w:rPr>
              <w:t>D</w:t>
            </w:r>
            <w:r w:rsidR="003F460F">
              <w:rPr>
                <w:rFonts w:eastAsia="Calibri" w:cs="Times New Roman"/>
                <w:bCs/>
                <w:noProof/>
                <w:kern w:val="0"/>
                <w:szCs w:val="24"/>
                <w:lang w:val="en-GB"/>
                <w14:ligatures w14:val="none"/>
              </w:rPr>
              <w:t>elegation</w:t>
            </w:r>
            <w:r w:rsidRPr="004B6CD8">
              <w:rPr>
                <w:rFonts w:eastAsia="Calibri" w:cs="Times New Roman"/>
                <w:bCs/>
                <w:noProof/>
                <w:kern w:val="0"/>
                <w:szCs w:val="24"/>
                <w:lang w:val="en-GB"/>
                <w14:ligatures w14:val="none"/>
              </w:rPr>
              <w:t xml:space="preserve">s workloads. </w:t>
            </w:r>
            <w:r w:rsidR="00425838">
              <w:rPr>
                <w:noProof/>
                <w:color w:val="000000" w:themeColor="text1"/>
                <w:lang w:val="en-IE"/>
              </w:rPr>
              <w:t>H</w:t>
            </w:r>
            <w:r w:rsidR="00425838" w:rsidRPr="00FE7BA7">
              <w:rPr>
                <w:noProof/>
                <w:color w:val="000000" w:themeColor="text1"/>
                <w:lang w:val="en-IE"/>
              </w:rPr>
              <w:t xml:space="preserve">owever, the methodology must </w:t>
            </w:r>
            <w:r w:rsidR="00425838">
              <w:rPr>
                <w:noProof/>
                <w:color w:val="000000" w:themeColor="text1"/>
                <w:lang w:val="en-IE"/>
              </w:rPr>
              <w:t xml:space="preserve">also </w:t>
            </w:r>
            <w:r w:rsidR="00425838" w:rsidRPr="00FE7BA7">
              <w:rPr>
                <w:noProof/>
                <w:color w:val="000000" w:themeColor="text1"/>
                <w:lang w:val="en-IE"/>
              </w:rPr>
              <w:t>take into account the roll-out of the modernisation of the EU</w:t>
            </w:r>
            <w:r w:rsidR="00425838">
              <w:rPr>
                <w:noProof/>
                <w:color w:val="000000" w:themeColor="text1"/>
                <w:lang w:val="en-IE"/>
              </w:rPr>
              <w:t xml:space="preserve"> </w:t>
            </w:r>
            <w:r w:rsidR="00425838" w:rsidRPr="00FE7BA7">
              <w:rPr>
                <w:noProof/>
                <w:color w:val="000000" w:themeColor="text1"/>
                <w:lang w:val="en-IE"/>
              </w:rPr>
              <w:t>D</w:t>
            </w:r>
            <w:r w:rsidR="00425838">
              <w:rPr>
                <w:noProof/>
                <w:color w:val="000000" w:themeColor="text1"/>
                <w:lang w:val="en-IE"/>
              </w:rPr>
              <w:t>elegation</w:t>
            </w:r>
            <w:r w:rsidR="00425838" w:rsidRPr="00FE7BA7">
              <w:rPr>
                <w:noProof/>
                <w:color w:val="000000" w:themeColor="text1"/>
                <w:lang w:val="en-IE"/>
              </w:rPr>
              <w:t>s</w:t>
            </w:r>
            <w:r w:rsidR="00425838">
              <w:rPr>
                <w:noProof/>
                <w:color w:val="000000" w:themeColor="text1"/>
                <w:lang w:val="en-IE"/>
              </w:rPr>
              <w:t>’</w:t>
            </w:r>
            <w:r w:rsidR="00425838" w:rsidRPr="00FE7BA7">
              <w:rPr>
                <w:noProof/>
                <w:color w:val="000000" w:themeColor="text1"/>
                <w:lang w:val="en-IE"/>
              </w:rPr>
              <w:t xml:space="preserve"> network to be implemented in 2026. </w:t>
            </w:r>
          </w:p>
          <w:p w14:paraId="252F4B3F" w14:textId="77777777" w:rsidR="00390F27" w:rsidRDefault="00390F27" w:rsidP="00390F27">
            <w:pPr>
              <w:jc w:val="both"/>
              <w:rPr>
                <w:noProof/>
                <w:color w:val="000000" w:themeColor="text1"/>
                <w:lang w:val="en-IE"/>
              </w:rPr>
            </w:pPr>
          </w:p>
          <w:p w14:paraId="1753F383" w14:textId="3D50A2F2" w:rsidR="00EF4C1F" w:rsidRPr="004B6CD8" w:rsidRDefault="00EF4C1F" w:rsidP="008A53FC">
            <w:pPr>
              <w:jc w:val="both"/>
              <w:rPr>
                <w:rFonts w:eastAsia="Calibri" w:cs="Times New Roman"/>
                <w:bCs/>
                <w:noProof/>
                <w:kern w:val="0"/>
                <w:szCs w:val="24"/>
                <w:lang w:val="en-GB"/>
                <w14:ligatures w14:val="none"/>
              </w:rPr>
            </w:pPr>
          </w:p>
        </w:tc>
      </w:tr>
      <w:tr w:rsidR="00EF0838" w:rsidRPr="004B6CD8" w14:paraId="0B6A0E17" w14:textId="77777777" w:rsidTr="00523320">
        <w:trPr>
          <w:cantSplit/>
          <w:trHeight w:val="473"/>
        </w:trPr>
        <w:tc>
          <w:tcPr>
            <w:tcW w:w="839" w:type="dxa"/>
            <w:gridSpan w:val="2"/>
            <w:tcBorders>
              <w:bottom w:val="single" w:sz="4" w:space="0" w:color="D9D9D9"/>
            </w:tcBorders>
            <w:shd w:val="clear" w:color="auto" w:fill="003399" w:themeFill="text2"/>
            <w:vAlign w:val="center"/>
            <w:hideMark/>
          </w:tcPr>
          <w:p w14:paraId="333C576A" w14:textId="77777777" w:rsidR="00C55FE8" w:rsidRPr="004B6CD8" w:rsidRDefault="00C55FE8" w:rsidP="00C55FE8">
            <w:pPr>
              <w:rPr>
                <w:b/>
                <w:bCs/>
                <w:noProof/>
                <w:lang w:val="en-GB"/>
              </w:rPr>
            </w:pPr>
            <w:bookmarkStart w:id="148" w:name="_Hlk197335555"/>
            <w:bookmarkEnd w:id="147"/>
            <w:r w:rsidRPr="004B6CD8">
              <w:rPr>
                <w:b/>
                <w:bCs/>
                <w:noProof/>
                <w:lang w:val="en-GB"/>
              </w:rPr>
              <w:t>No.</w:t>
            </w:r>
          </w:p>
        </w:tc>
        <w:tc>
          <w:tcPr>
            <w:tcW w:w="981" w:type="dxa"/>
            <w:tcBorders>
              <w:bottom w:val="single" w:sz="4" w:space="0" w:color="D9D9D9"/>
            </w:tcBorders>
            <w:shd w:val="clear" w:color="auto" w:fill="003399" w:themeFill="text2"/>
            <w:vAlign w:val="center"/>
            <w:hideMark/>
          </w:tcPr>
          <w:p w14:paraId="2CF24B49" w14:textId="77777777" w:rsidR="00C55FE8" w:rsidRPr="004B6CD8" w:rsidRDefault="00C55FE8" w:rsidP="00C55FE8">
            <w:pPr>
              <w:rPr>
                <w:b/>
                <w:bCs/>
                <w:noProof/>
                <w:lang w:val="en-GB"/>
              </w:rPr>
            </w:pPr>
            <w:r w:rsidRPr="004B6CD8">
              <w:rPr>
                <w:b/>
                <w:bCs/>
                <w:noProof/>
                <w:lang w:val="en-GB"/>
              </w:rPr>
              <w:t>Entity</w:t>
            </w:r>
          </w:p>
        </w:tc>
        <w:tc>
          <w:tcPr>
            <w:tcW w:w="2857" w:type="dxa"/>
            <w:gridSpan w:val="3"/>
            <w:tcBorders>
              <w:bottom w:val="single" w:sz="4" w:space="0" w:color="D9D9D9"/>
            </w:tcBorders>
            <w:shd w:val="clear" w:color="auto" w:fill="003399" w:themeFill="text2"/>
            <w:vAlign w:val="center"/>
            <w:hideMark/>
          </w:tcPr>
          <w:p w14:paraId="663EF7D3" w14:textId="77777777" w:rsidR="00C55FE8" w:rsidRPr="004B6CD8" w:rsidRDefault="00C55FE8" w:rsidP="00C55FE8">
            <w:pPr>
              <w:rPr>
                <w:b/>
                <w:bCs/>
                <w:noProof/>
                <w:lang w:val="en-GB"/>
              </w:rPr>
            </w:pPr>
            <w:r w:rsidRPr="004B6CD8">
              <w:rPr>
                <w:b/>
                <w:bCs/>
                <w:noProof/>
                <w:lang w:val="en-GB"/>
              </w:rPr>
              <w:t>Audit title</w:t>
            </w:r>
          </w:p>
        </w:tc>
        <w:tc>
          <w:tcPr>
            <w:tcW w:w="2856" w:type="dxa"/>
            <w:gridSpan w:val="3"/>
            <w:tcBorders>
              <w:bottom w:val="single" w:sz="4" w:space="0" w:color="D9D9D9"/>
            </w:tcBorders>
            <w:shd w:val="clear" w:color="auto" w:fill="003399" w:themeFill="text2"/>
            <w:vAlign w:val="center"/>
            <w:hideMark/>
          </w:tcPr>
          <w:p w14:paraId="18B63E5C" w14:textId="77777777" w:rsidR="00C55FE8" w:rsidRPr="004B6CD8" w:rsidRDefault="00C55FE8" w:rsidP="00C55FE8">
            <w:pPr>
              <w:rPr>
                <w:b/>
                <w:bCs/>
                <w:noProof/>
                <w:lang w:val="en-GB"/>
              </w:rPr>
            </w:pPr>
            <w:r w:rsidRPr="004B6CD8">
              <w:rPr>
                <w:b/>
                <w:bCs/>
                <w:noProof/>
                <w:lang w:val="en-GB"/>
              </w:rPr>
              <w:t>Recommendation title</w:t>
            </w:r>
          </w:p>
        </w:tc>
        <w:tc>
          <w:tcPr>
            <w:tcW w:w="1511" w:type="dxa"/>
            <w:tcBorders>
              <w:bottom w:val="single" w:sz="4" w:space="0" w:color="D9D9D9"/>
            </w:tcBorders>
            <w:shd w:val="clear" w:color="auto" w:fill="003399" w:themeFill="text2"/>
            <w:vAlign w:val="center"/>
            <w:hideMark/>
          </w:tcPr>
          <w:p w14:paraId="228307B2" w14:textId="77777777" w:rsidR="00C55FE8" w:rsidRPr="004B6CD8" w:rsidRDefault="00C55FE8" w:rsidP="00C55FE8">
            <w:pPr>
              <w:rPr>
                <w:b/>
                <w:bCs/>
                <w:noProof/>
                <w:lang w:val="en-GB"/>
              </w:rPr>
            </w:pPr>
            <w:r w:rsidRPr="004B6CD8">
              <w:rPr>
                <w:b/>
                <w:bCs/>
                <w:noProof/>
                <w:lang w:val="en-GB"/>
              </w:rPr>
              <w:t>Final report date</w:t>
            </w:r>
          </w:p>
        </w:tc>
        <w:tc>
          <w:tcPr>
            <w:tcW w:w="1885" w:type="dxa"/>
            <w:gridSpan w:val="2"/>
            <w:tcBorders>
              <w:bottom w:val="single" w:sz="4" w:space="0" w:color="D9D9D9"/>
            </w:tcBorders>
            <w:shd w:val="clear" w:color="auto" w:fill="003399" w:themeFill="text2"/>
            <w:vAlign w:val="center"/>
          </w:tcPr>
          <w:p w14:paraId="17CAFAF4" w14:textId="77777777" w:rsidR="00C55FE8" w:rsidRPr="004B6CD8" w:rsidRDefault="00C55FE8" w:rsidP="00C55FE8">
            <w:pPr>
              <w:rPr>
                <w:b/>
                <w:bCs/>
                <w:noProof/>
                <w:lang w:val="en-GB"/>
              </w:rPr>
            </w:pPr>
            <w:r w:rsidRPr="004B6CD8">
              <w:rPr>
                <w:b/>
                <w:bCs/>
                <w:noProof/>
                <w:lang w:val="en-GB"/>
              </w:rPr>
              <w:t>Original agreed completion date</w:t>
            </w:r>
          </w:p>
        </w:tc>
        <w:tc>
          <w:tcPr>
            <w:tcW w:w="1829" w:type="dxa"/>
            <w:gridSpan w:val="2"/>
            <w:tcBorders>
              <w:bottom w:val="single" w:sz="4" w:space="0" w:color="D9D9D9"/>
            </w:tcBorders>
            <w:shd w:val="clear" w:color="auto" w:fill="003399" w:themeFill="text2"/>
            <w:vAlign w:val="center"/>
            <w:hideMark/>
          </w:tcPr>
          <w:p w14:paraId="610A1A76" w14:textId="77777777" w:rsidR="00C55FE8" w:rsidRPr="004B6CD8" w:rsidRDefault="00C55FE8" w:rsidP="00C55FE8">
            <w:pPr>
              <w:rPr>
                <w:b/>
                <w:bCs/>
                <w:noProof/>
                <w:lang w:val="en-GB"/>
              </w:rPr>
            </w:pPr>
            <w:r w:rsidRPr="004B6CD8">
              <w:rPr>
                <w:b/>
                <w:bCs/>
                <w:noProof/>
                <w:lang w:val="en-GB"/>
              </w:rPr>
              <w:t>Revised expected completion date</w:t>
            </w:r>
          </w:p>
        </w:tc>
        <w:tc>
          <w:tcPr>
            <w:tcW w:w="1418" w:type="dxa"/>
            <w:tcBorders>
              <w:bottom w:val="single" w:sz="4" w:space="0" w:color="D9D9D9"/>
            </w:tcBorders>
            <w:shd w:val="clear" w:color="auto" w:fill="003399" w:themeFill="text2"/>
            <w:vAlign w:val="center"/>
          </w:tcPr>
          <w:p w14:paraId="5BA60711" w14:textId="77777777" w:rsidR="00C55FE8" w:rsidRPr="004B6CD8" w:rsidRDefault="00C55FE8" w:rsidP="00CB752A">
            <w:pPr>
              <w:spacing w:after="120"/>
              <w:rPr>
                <w:b/>
                <w:bCs/>
                <w:noProof/>
                <w:lang w:val="en-GB"/>
              </w:rPr>
            </w:pPr>
            <w:r w:rsidRPr="004B6CD8">
              <w:rPr>
                <w:b/>
                <w:bCs/>
                <w:noProof/>
                <w:lang w:val="en-GB"/>
              </w:rPr>
              <w:t xml:space="preserve">Expected </w:t>
            </w:r>
            <w:r w:rsidRPr="004B6CD8">
              <w:rPr>
                <w:rFonts w:eastAsia="Calibri" w:cs="Times New Roman"/>
                <w:b/>
                <w:noProof/>
                <w:color w:val="FFFFFF"/>
                <w:kern w:val="0"/>
                <w:szCs w:val="24"/>
                <w:lang w:val="en-GB"/>
                <w14:ligatures w14:val="none"/>
              </w:rPr>
              <w:t>delay</w:t>
            </w:r>
          </w:p>
        </w:tc>
      </w:tr>
      <w:tr w:rsidR="00572908" w:rsidRPr="004B6CD8" w14:paraId="462084DC" w14:textId="77777777" w:rsidTr="00523320">
        <w:trPr>
          <w:cantSplit/>
          <w:trHeight w:val="220"/>
        </w:trPr>
        <w:tc>
          <w:tcPr>
            <w:tcW w:w="839" w:type="dxa"/>
            <w:gridSpan w:val="2"/>
            <w:tcBorders>
              <w:top w:val="single" w:sz="4" w:space="0" w:color="D9D9D9"/>
              <w:bottom w:val="single" w:sz="4" w:space="0" w:color="D9D9D9"/>
            </w:tcBorders>
            <w:hideMark/>
          </w:tcPr>
          <w:p w14:paraId="7EAB45F1" w14:textId="159B7F9C" w:rsidR="00572908" w:rsidRPr="004B6CD8" w:rsidRDefault="00572908" w:rsidP="00CB752A">
            <w:pPr>
              <w:spacing w:before="60" w:after="60"/>
              <w:rPr>
                <w:b/>
                <w:bCs/>
                <w:noProof/>
                <w:lang w:val="en-GB"/>
              </w:rPr>
            </w:pPr>
            <w:r w:rsidRPr="004B6CD8">
              <w:rPr>
                <w:b/>
                <w:bCs/>
                <w:noProof/>
                <w:lang w:val="en-GB"/>
              </w:rPr>
              <w:t>II</w:t>
            </w:r>
          </w:p>
        </w:tc>
        <w:tc>
          <w:tcPr>
            <w:tcW w:w="981" w:type="dxa"/>
            <w:tcBorders>
              <w:top w:val="single" w:sz="4" w:space="0" w:color="D9D9D9"/>
              <w:bottom w:val="single" w:sz="4" w:space="0" w:color="D9D9D9"/>
            </w:tcBorders>
          </w:tcPr>
          <w:p w14:paraId="0BA73A98" w14:textId="7EB308ED" w:rsidR="00572908" w:rsidRPr="004B6CD8" w:rsidRDefault="00EF4C1F" w:rsidP="00CB752A">
            <w:pPr>
              <w:spacing w:before="60" w:after="60"/>
              <w:rPr>
                <w:b/>
                <w:bCs/>
                <w:noProof/>
                <w:lang w:val="en-GB"/>
              </w:rPr>
            </w:pPr>
            <w:r w:rsidRPr="004B6CD8">
              <w:rPr>
                <w:b/>
                <w:bCs/>
                <w:noProof/>
                <w:lang w:val="en-GB"/>
              </w:rPr>
              <w:t>OIB</w:t>
            </w:r>
          </w:p>
        </w:tc>
        <w:tc>
          <w:tcPr>
            <w:tcW w:w="2857" w:type="dxa"/>
            <w:gridSpan w:val="3"/>
            <w:tcBorders>
              <w:top w:val="single" w:sz="4" w:space="0" w:color="D9D9D9"/>
              <w:bottom w:val="single" w:sz="4" w:space="0" w:color="D9D9D9"/>
            </w:tcBorders>
          </w:tcPr>
          <w:p w14:paraId="297F9F6E" w14:textId="5988058A" w:rsidR="00572908" w:rsidRPr="004B6CD8" w:rsidRDefault="00572908" w:rsidP="00CB752A">
            <w:pPr>
              <w:spacing w:before="60" w:after="60"/>
              <w:rPr>
                <w:b/>
                <w:bCs/>
                <w:noProof/>
                <w:lang w:val="en-GB"/>
              </w:rPr>
            </w:pPr>
            <w:r w:rsidRPr="004B6CD8">
              <w:rPr>
                <w:noProof/>
                <w:lang w:val="en-GB"/>
              </w:rPr>
              <w:t>IAS.</w:t>
            </w:r>
            <w:r w:rsidR="00EF4C1F" w:rsidRPr="004B6CD8">
              <w:rPr>
                <w:noProof/>
                <w:lang w:val="en-GB"/>
              </w:rPr>
              <w:t>B4-2022-Y COMM-005: Management of large-scale building projects involving works in OIB and OIL</w:t>
            </w:r>
          </w:p>
        </w:tc>
        <w:tc>
          <w:tcPr>
            <w:tcW w:w="2856" w:type="dxa"/>
            <w:gridSpan w:val="3"/>
            <w:tcBorders>
              <w:top w:val="single" w:sz="4" w:space="0" w:color="D9D9D9"/>
              <w:bottom w:val="single" w:sz="4" w:space="0" w:color="D9D9D9"/>
            </w:tcBorders>
          </w:tcPr>
          <w:p w14:paraId="2013FA02" w14:textId="04B485E6" w:rsidR="00572908" w:rsidRPr="004B6CD8" w:rsidRDefault="00EF4C1F" w:rsidP="00CB752A">
            <w:pPr>
              <w:spacing w:before="60" w:after="60"/>
              <w:rPr>
                <w:b/>
                <w:bCs/>
                <w:noProof/>
                <w:lang w:val="en-GB"/>
              </w:rPr>
            </w:pPr>
            <w:r w:rsidRPr="004B6CD8">
              <w:rPr>
                <w:b/>
                <w:bCs/>
                <w:noProof/>
                <w:lang w:val="en-GB"/>
              </w:rPr>
              <w:t>Management of large-scale projects - approach and procurement activities - OIB</w:t>
            </w:r>
          </w:p>
        </w:tc>
        <w:tc>
          <w:tcPr>
            <w:tcW w:w="1511" w:type="dxa"/>
            <w:tcBorders>
              <w:top w:val="single" w:sz="4" w:space="0" w:color="D9D9D9"/>
              <w:bottom w:val="single" w:sz="4" w:space="0" w:color="D9D9D9"/>
            </w:tcBorders>
          </w:tcPr>
          <w:p w14:paraId="396AD74C" w14:textId="1C817F2E" w:rsidR="00572908" w:rsidRPr="004B6CD8" w:rsidRDefault="00EF4C1F" w:rsidP="00CB752A">
            <w:pPr>
              <w:spacing w:before="60" w:after="60"/>
              <w:rPr>
                <w:rFonts w:eastAsia="Calibri" w:cs="Times New Roman"/>
                <w:noProof/>
                <w:kern w:val="0"/>
                <w:szCs w:val="24"/>
                <w:lang w:val="en-GB"/>
                <w14:ligatures w14:val="none"/>
              </w:rPr>
            </w:pPr>
            <w:r w:rsidRPr="004B6CD8">
              <w:rPr>
                <w:rFonts w:eastAsia="Calibri" w:cs="Times New Roman"/>
                <w:noProof/>
                <w:kern w:val="0"/>
                <w:szCs w:val="24"/>
                <w:lang w:val="en-GB"/>
                <w14:ligatures w14:val="none"/>
              </w:rPr>
              <w:t>1.12.2023</w:t>
            </w:r>
          </w:p>
        </w:tc>
        <w:tc>
          <w:tcPr>
            <w:tcW w:w="1885" w:type="dxa"/>
            <w:gridSpan w:val="2"/>
            <w:tcBorders>
              <w:top w:val="single" w:sz="4" w:space="0" w:color="D9D9D9"/>
              <w:bottom w:val="single" w:sz="4" w:space="0" w:color="D9D9D9"/>
            </w:tcBorders>
          </w:tcPr>
          <w:p w14:paraId="52D25DC4" w14:textId="2EF8CB26" w:rsidR="00572908" w:rsidRPr="004B6CD8" w:rsidRDefault="00EF4C1F" w:rsidP="00CB752A">
            <w:pPr>
              <w:spacing w:before="60" w:after="60"/>
              <w:rPr>
                <w:rFonts w:eastAsia="Calibri" w:cs="Times New Roman"/>
                <w:noProof/>
                <w:kern w:val="0"/>
                <w:szCs w:val="24"/>
                <w:lang w:val="en-GB"/>
                <w14:ligatures w14:val="none"/>
              </w:rPr>
            </w:pPr>
            <w:r w:rsidRPr="004B6CD8">
              <w:rPr>
                <w:rFonts w:eastAsia="Calibri" w:cs="Times New Roman"/>
                <w:noProof/>
                <w:kern w:val="0"/>
                <w:szCs w:val="24"/>
                <w:lang w:val="en-GB"/>
                <w14:ligatures w14:val="none"/>
              </w:rPr>
              <w:t>31.12.2024</w:t>
            </w:r>
          </w:p>
        </w:tc>
        <w:tc>
          <w:tcPr>
            <w:tcW w:w="1829" w:type="dxa"/>
            <w:gridSpan w:val="2"/>
            <w:tcBorders>
              <w:top w:val="single" w:sz="4" w:space="0" w:color="D9D9D9"/>
              <w:bottom w:val="single" w:sz="4" w:space="0" w:color="D9D9D9"/>
            </w:tcBorders>
          </w:tcPr>
          <w:p w14:paraId="7A9D4467" w14:textId="19963691" w:rsidR="00572908" w:rsidRPr="004B6CD8" w:rsidRDefault="00EF4C1F" w:rsidP="00CB752A">
            <w:pPr>
              <w:spacing w:before="60" w:after="60"/>
              <w:rPr>
                <w:rFonts w:eastAsia="Calibri" w:cs="Times New Roman"/>
                <w:noProof/>
                <w:kern w:val="0"/>
                <w:szCs w:val="24"/>
                <w:lang w:val="en-GB"/>
                <w14:ligatures w14:val="none"/>
              </w:rPr>
            </w:pPr>
            <w:r w:rsidRPr="004B6CD8">
              <w:rPr>
                <w:rFonts w:eastAsia="Calibri" w:cs="Times New Roman"/>
                <w:noProof/>
                <w:kern w:val="0"/>
                <w:szCs w:val="24"/>
                <w:lang w:val="en-GB"/>
                <w14:ligatures w14:val="none"/>
              </w:rPr>
              <w:t>31.1.2026</w:t>
            </w:r>
          </w:p>
        </w:tc>
        <w:tc>
          <w:tcPr>
            <w:tcW w:w="1418" w:type="dxa"/>
            <w:tcBorders>
              <w:top w:val="single" w:sz="4" w:space="0" w:color="D9D9D9"/>
              <w:bottom w:val="single" w:sz="4" w:space="0" w:color="D9D9D9"/>
            </w:tcBorders>
          </w:tcPr>
          <w:p w14:paraId="7E560C3D" w14:textId="5A551EBA" w:rsidR="00572908" w:rsidRPr="004B6CD8" w:rsidRDefault="00572908" w:rsidP="00CB752A">
            <w:pPr>
              <w:spacing w:before="60" w:after="60"/>
              <w:jc w:val="both"/>
              <w:rPr>
                <w:b/>
                <w:bCs/>
                <w:noProof/>
                <w:lang w:val="en-GB"/>
              </w:rPr>
            </w:pPr>
            <w:r w:rsidRPr="004B6CD8">
              <w:rPr>
                <w:b/>
                <w:bCs/>
                <w:noProof/>
                <w:lang w:val="en-GB"/>
              </w:rPr>
              <w:t xml:space="preserve">1 year and 1 </w:t>
            </w:r>
            <w:r w:rsidRPr="004B6CD8">
              <w:rPr>
                <w:rFonts w:eastAsia="Calibri" w:cs="Times New Roman"/>
                <w:b/>
                <w:noProof/>
                <w:kern w:val="0"/>
                <w:szCs w:val="24"/>
                <w:lang w:val="en-GB"/>
                <w14:ligatures w14:val="none"/>
              </w:rPr>
              <w:t>month</w:t>
            </w:r>
          </w:p>
        </w:tc>
      </w:tr>
      <w:tr w:rsidR="00CB752A" w:rsidRPr="007F05B2" w14:paraId="73C21881" w14:textId="77777777" w:rsidTr="00523320">
        <w:trPr>
          <w:cantSplit/>
          <w:trHeight w:val="220"/>
        </w:trPr>
        <w:tc>
          <w:tcPr>
            <w:tcW w:w="14176" w:type="dxa"/>
            <w:gridSpan w:val="15"/>
            <w:tcBorders>
              <w:top w:val="single" w:sz="4" w:space="0" w:color="D9D9D9"/>
              <w:bottom w:val="single" w:sz="4" w:space="0" w:color="D9D9D9"/>
            </w:tcBorders>
          </w:tcPr>
          <w:p w14:paraId="3EC702C5" w14:textId="5D990662" w:rsidR="00D77ADA" w:rsidRPr="004B6CD8" w:rsidRDefault="00390F27" w:rsidP="008A53FC">
            <w:pPr>
              <w:pStyle w:val="amprLISTtealbullets-L1"/>
              <w:numPr>
                <w:ilvl w:val="0"/>
                <w:numId w:val="0"/>
              </w:numPr>
              <w:spacing w:before="240" w:after="240"/>
              <w:rPr>
                <w:noProof/>
              </w:rPr>
            </w:pPr>
            <w:r w:rsidRPr="004B6CD8">
              <w:rPr>
                <w:noProof/>
              </w:rPr>
              <w:t xml:space="preserve">According to OIB, significant progress has been made on the implementation of these three remaining points since the IAS first follow-up in August 2025. </w:t>
            </w:r>
            <w:r w:rsidR="00D77ADA" w:rsidRPr="004B6CD8">
              <w:rPr>
                <w:noProof/>
              </w:rPr>
              <w:t>On 28 January 2026</w:t>
            </w:r>
            <w:r>
              <w:rPr>
                <w:noProof/>
              </w:rPr>
              <w:t>,</w:t>
            </w:r>
            <w:r w:rsidR="00D77ADA" w:rsidRPr="004B6CD8">
              <w:rPr>
                <w:noProof/>
              </w:rPr>
              <w:t xml:space="preserve"> OIB marked the three outstanding points as ‘ready for review’: (1) define the concept of ‘structural renovation’ to ensure a consistent implementation between projects and compliance with the Financial Regulation; (</w:t>
            </w:r>
            <w:r w:rsidR="005723BC" w:rsidRPr="004B6CD8">
              <w:rPr>
                <w:noProof/>
              </w:rPr>
              <w:t xml:space="preserve">2) establish a proportionate mechanism which identifies and takes into consideration all clients’ specific needs, as soon as possible in the early stages of the project and at key moments during implementation; (3) define in its internal procedures which works have to be managed as a stand-alone project in compliance with the adopted </w:t>
            </w:r>
            <w:r w:rsidR="00D6384A" w:rsidRPr="004B6CD8">
              <w:rPr>
                <w:noProof/>
              </w:rPr>
              <w:t>Project Management Methodology (PM</w:t>
            </w:r>
            <w:r w:rsidR="00D6384A" w:rsidRPr="004B6CD8">
              <w:rPr>
                <w:noProof/>
                <w:vertAlign w:val="superscript"/>
              </w:rPr>
              <w:t>2</w:t>
            </w:r>
            <w:r w:rsidR="00D6384A" w:rsidRPr="004B6CD8">
              <w:rPr>
                <w:noProof/>
              </w:rPr>
              <w:t xml:space="preserve">) </w:t>
            </w:r>
            <w:r w:rsidR="005723BC" w:rsidRPr="004B6CD8">
              <w:rPr>
                <w:noProof/>
              </w:rPr>
              <w:t>and in which situations a simplified methodology can be applied by exception.</w:t>
            </w:r>
          </w:p>
        </w:tc>
      </w:tr>
      <w:bookmarkEnd w:id="148"/>
      <w:tr w:rsidR="00491912" w:rsidRPr="004B6CD8" w14:paraId="1DDDA336" w14:textId="77777777" w:rsidTr="00523320">
        <w:trPr>
          <w:cantSplit/>
          <w:trHeight w:val="473"/>
        </w:trPr>
        <w:tc>
          <w:tcPr>
            <w:tcW w:w="839" w:type="dxa"/>
            <w:gridSpan w:val="2"/>
            <w:tcBorders>
              <w:bottom w:val="single" w:sz="4" w:space="0" w:color="D9D9D9"/>
            </w:tcBorders>
            <w:shd w:val="clear" w:color="auto" w:fill="003399" w:themeFill="text2"/>
            <w:vAlign w:val="center"/>
            <w:hideMark/>
          </w:tcPr>
          <w:p w14:paraId="15279FA7" w14:textId="77777777" w:rsidR="007E5CD5" w:rsidRPr="004B6CD8" w:rsidRDefault="007E5CD5" w:rsidP="009B7761">
            <w:pPr>
              <w:rPr>
                <w:b/>
                <w:bCs/>
                <w:noProof/>
                <w:lang w:val="en-GB"/>
              </w:rPr>
            </w:pPr>
            <w:r w:rsidRPr="004B6CD8">
              <w:rPr>
                <w:b/>
                <w:bCs/>
                <w:noProof/>
                <w:lang w:val="en-GB"/>
              </w:rPr>
              <w:t>No.</w:t>
            </w:r>
          </w:p>
        </w:tc>
        <w:tc>
          <w:tcPr>
            <w:tcW w:w="1247" w:type="dxa"/>
            <w:gridSpan w:val="3"/>
            <w:tcBorders>
              <w:bottom w:val="single" w:sz="4" w:space="0" w:color="D9D9D9"/>
            </w:tcBorders>
            <w:shd w:val="clear" w:color="auto" w:fill="003399" w:themeFill="text2"/>
            <w:vAlign w:val="center"/>
            <w:hideMark/>
          </w:tcPr>
          <w:p w14:paraId="2C247594" w14:textId="77777777" w:rsidR="007E5CD5" w:rsidRPr="004B6CD8" w:rsidRDefault="007E5CD5" w:rsidP="009B7761">
            <w:pPr>
              <w:rPr>
                <w:b/>
                <w:bCs/>
                <w:noProof/>
                <w:lang w:val="en-GB"/>
              </w:rPr>
            </w:pPr>
            <w:r w:rsidRPr="004B6CD8">
              <w:rPr>
                <w:b/>
                <w:bCs/>
                <w:noProof/>
                <w:lang w:val="en-GB"/>
              </w:rPr>
              <w:t>Entity</w:t>
            </w:r>
          </w:p>
        </w:tc>
        <w:tc>
          <w:tcPr>
            <w:tcW w:w="2823" w:type="dxa"/>
            <w:gridSpan w:val="2"/>
            <w:tcBorders>
              <w:bottom w:val="single" w:sz="4" w:space="0" w:color="D9D9D9"/>
            </w:tcBorders>
            <w:shd w:val="clear" w:color="auto" w:fill="003399" w:themeFill="text2"/>
            <w:vAlign w:val="center"/>
            <w:hideMark/>
          </w:tcPr>
          <w:p w14:paraId="0DBF732E" w14:textId="77777777" w:rsidR="007E5CD5" w:rsidRPr="004B6CD8" w:rsidRDefault="007E5CD5" w:rsidP="009B7761">
            <w:pPr>
              <w:rPr>
                <w:b/>
                <w:bCs/>
                <w:noProof/>
                <w:lang w:val="en-GB"/>
              </w:rPr>
            </w:pPr>
            <w:r w:rsidRPr="004B6CD8">
              <w:rPr>
                <w:b/>
                <w:bCs/>
                <w:noProof/>
                <w:lang w:val="en-GB"/>
              </w:rPr>
              <w:t>Audit title</w:t>
            </w:r>
          </w:p>
        </w:tc>
        <w:tc>
          <w:tcPr>
            <w:tcW w:w="2782" w:type="dxa"/>
            <w:gridSpan w:val="2"/>
            <w:tcBorders>
              <w:bottom w:val="single" w:sz="4" w:space="0" w:color="D9D9D9"/>
            </w:tcBorders>
            <w:shd w:val="clear" w:color="auto" w:fill="003399" w:themeFill="text2"/>
            <w:vAlign w:val="center"/>
            <w:hideMark/>
          </w:tcPr>
          <w:p w14:paraId="04B258F9" w14:textId="77777777" w:rsidR="007E5CD5" w:rsidRPr="004B6CD8" w:rsidRDefault="007E5CD5" w:rsidP="009B7761">
            <w:pPr>
              <w:rPr>
                <w:b/>
                <w:bCs/>
                <w:noProof/>
                <w:lang w:val="en-GB"/>
              </w:rPr>
            </w:pPr>
            <w:r w:rsidRPr="004B6CD8">
              <w:rPr>
                <w:b/>
                <w:bCs/>
                <w:noProof/>
                <w:lang w:val="en-GB"/>
              </w:rPr>
              <w:t>Recommendation title</w:t>
            </w:r>
          </w:p>
        </w:tc>
        <w:tc>
          <w:tcPr>
            <w:tcW w:w="1475" w:type="dxa"/>
            <w:tcBorders>
              <w:bottom w:val="single" w:sz="4" w:space="0" w:color="D9D9D9"/>
            </w:tcBorders>
            <w:shd w:val="clear" w:color="auto" w:fill="003399" w:themeFill="text2"/>
            <w:vAlign w:val="center"/>
            <w:hideMark/>
          </w:tcPr>
          <w:p w14:paraId="490BF0D8" w14:textId="77777777" w:rsidR="007E5CD5" w:rsidRPr="004B6CD8" w:rsidRDefault="007E5CD5" w:rsidP="009B7761">
            <w:pPr>
              <w:rPr>
                <w:b/>
                <w:bCs/>
                <w:noProof/>
                <w:lang w:val="en-GB"/>
              </w:rPr>
            </w:pPr>
            <w:r w:rsidRPr="004B6CD8">
              <w:rPr>
                <w:b/>
                <w:bCs/>
                <w:noProof/>
                <w:lang w:val="en-GB"/>
              </w:rPr>
              <w:t>Final report date</w:t>
            </w:r>
          </w:p>
        </w:tc>
        <w:tc>
          <w:tcPr>
            <w:tcW w:w="1838" w:type="dxa"/>
            <w:gridSpan w:val="2"/>
            <w:tcBorders>
              <w:bottom w:val="single" w:sz="4" w:space="0" w:color="D9D9D9"/>
            </w:tcBorders>
            <w:shd w:val="clear" w:color="auto" w:fill="003399" w:themeFill="text2"/>
            <w:vAlign w:val="center"/>
          </w:tcPr>
          <w:p w14:paraId="6A2364A2" w14:textId="77777777" w:rsidR="007E5CD5" w:rsidRPr="004B6CD8" w:rsidRDefault="007E5CD5" w:rsidP="009B7761">
            <w:pPr>
              <w:rPr>
                <w:b/>
                <w:bCs/>
                <w:noProof/>
                <w:lang w:val="en-GB"/>
              </w:rPr>
            </w:pPr>
            <w:r w:rsidRPr="004B6CD8">
              <w:rPr>
                <w:b/>
                <w:bCs/>
                <w:noProof/>
                <w:lang w:val="en-GB"/>
              </w:rPr>
              <w:t>Original agreed completion date</w:t>
            </w:r>
          </w:p>
        </w:tc>
        <w:tc>
          <w:tcPr>
            <w:tcW w:w="1787" w:type="dxa"/>
            <w:gridSpan w:val="2"/>
            <w:tcBorders>
              <w:bottom w:val="single" w:sz="4" w:space="0" w:color="D9D9D9"/>
            </w:tcBorders>
            <w:shd w:val="clear" w:color="auto" w:fill="003399" w:themeFill="text2"/>
            <w:vAlign w:val="center"/>
            <w:hideMark/>
          </w:tcPr>
          <w:p w14:paraId="6AD896B5" w14:textId="77777777" w:rsidR="007E5CD5" w:rsidRPr="004B6CD8" w:rsidRDefault="007E5CD5" w:rsidP="009B7761">
            <w:pPr>
              <w:rPr>
                <w:b/>
                <w:bCs/>
                <w:noProof/>
                <w:lang w:val="en-GB"/>
              </w:rPr>
            </w:pPr>
            <w:r w:rsidRPr="004B6CD8">
              <w:rPr>
                <w:b/>
                <w:bCs/>
                <w:noProof/>
                <w:lang w:val="en-GB"/>
              </w:rPr>
              <w:t>Revised expected completion date</w:t>
            </w:r>
          </w:p>
        </w:tc>
        <w:tc>
          <w:tcPr>
            <w:tcW w:w="1385" w:type="dxa"/>
            <w:tcBorders>
              <w:bottom w:val="single" w:sz="4" w:space="0" w:color="D9D9D9"/>
            </w:tcBorders>
            <w:shd w:val="clear" w:color="auto" w:fill="003399" w:themeFill="text2"/>
            <w:vAlign w:val="center"/>
          </w:tcPr>
          <w:p w14:paraId="121A8143" w14:textId="77777777" w:rsidR="007E5CD5" w:rsidRPr="004B6CD8" w:rsidRDefault="007E5CD5" w:rsidP="009B7761">
            <w:pPr>
              <w:rPr>
                <w:b/>
                <w:bCs/>
                <w:noProof/>
                <w:lang w:val="en-GB"/>
              </w:rPr>
            </w:pPr>
            <w:r w:rsidRPr="004B6CD8">
              <w:rPr>
                <w:b/>
                <w:bCs/>
                <w:noProof/>
                <w:lang w:val="en-GB"/>
              </w:rPr>
              <w:t>Expected delay</w:t>
            </w:r>
          </w:p>
        </w:tc>
      </w:tr>
      <w:tr w:rsidR="00491912" w:rsidRPr="004B6CD8" w14:paraId="5AC1DA1E" w14:textId="77777777" w:rsidTr="00523320">
        <w:trPr>
          <w:cantSplit/>
          <w:trHeight w:val="220"/>
        </w:trPr>
        <w:tc>
          <w:tcPr>
            <w:tcW w:w="839" w:type="dxa"/>
            <w:gridSpan w:val="2"/>
            <w:tcBorders>
              <w:top w:val="single" w:sz="4" w:space="0" w:color="D9D9D9"/>
              <w:bottom w:val="single" w:sz="4" w:space="0" w:color="D9D9D9"/>
            </w:tcBorders>
            <w:hideMark/>
          </w:tcPr>
          <w:p w14:paraId="5ACB071D" w14:textId="046294EB" w:rsidR="00634269" w:rsidRPr="004B6CD8" w:rsidRDefault="00634269" w:rsidP="008A53FC">
            <w:pPr>
              <w:spacing w:before="60" w:after="60"/>
              <w:rPr>
                <w:b/>
                <w:bCs/>
                <w:noProof/>
                <w:lang w:val="en-GB"/>
              </w:rPr>
            </w:pPr>
            <w:r w:rsidRPr="004B6CD8">
              <w:rPr>
                <w:b/>
                <w:bCs/>
                <w:noProof/>
                <w:lang w:val="en-GB"/>
              </w:rPr>
              <w:t>III</w:t>
            </w:r>
          </w:p>
        </w:tc>
        <w:tc>
          <w:tcPr>
            <w:tcW w:w="1247" w:type="dxa"/>
            <w:gridSpan w:val="3"/>
            <w:tcBorders>
              <w:top w:val="single" w:sz="4" w:space="0" w:color="D9D9D9"/>
              <w:bottom w:val="single" w:sz="4" w:space="0" w:color="D9D9D9"/>
            </w:tcBorders>
          </w:tcPr>
          <w:p w14:paraId="39DCBBBA" w14:textId="3281FB10" w:rsidR="00634269" w:rsidRPr="004B6CD8" w:rsidRDefault="00634269" w:rsidP="008A53FC">
            <w:pPr>
              <w:spacing w:before="60" w:after="60"/>
              <w:rPr>
                <w:b/>
                <w:bCs/>
                <w:noProof/>
                <w:lang w:val="en-GB"/>
              </w:rPr>
            </w:pPr>
            <w:r w:rsidRPr="004B6CD8">
              <w:rPr>
                <w:b/>
                <w:bCs/>
                <w:noProof/>
                <w:lang w:val="en-GB"/>
              </w:rPr>
              <w:t xml:space="preserve">DG </w:t>
            </w:r>
            <w:r w:rsidR="00441130" w:rsidRPr="004B6CD8">
              <w:rPr>
                <w:b/>
                <w:bCs/>
                <w:noProof/>
                <w:lang w:val="en-GB"/>
              </w:rPr>
              <w:t>EAC</w:t>
            </w:r>
          </w:p>
        </w:tc>
        <w:tc>
          <w:tcPr>
            <w:tcW w:w="2823" w:type="dxa"/>
            <w:gridSpan w:val="2"/>
            <w:tcBorders>
              <w:top w:val="single" w:sz="4" w:space="0" w:color="D9D9D9"/>
              <w:bottom w:val="single" w:sz="4" w:space="0" w:color="D9D9D9"/>
            </w:tcBorders>
          </w:tcPr>
          <w:p w14:paraId="641AA064" w14:textId="1702075C" w:rsidR="00634269" w:rsidRPr="004B6CD8" w:rsidRDefault="00441130" w:rsidP="008A53FC">
            <w:pPr>
              <w:spacing w:before="60" w:after="60"/>
              <w:rPr>
                <w:b/>
                <w:bCs/>
                <w:noProof/>
                <w:lang w:val="en-GB"/>
              </w:rPr>
            </w:pPr>
            <w:r w:rsidRPr="004B6CD8">
              <w:rPr>
                <w:noProof/>
                <w:lang w:val="en-GB"/>
              </w:rPr>
              <w:t>IAS.C2-2019-EAC-001: Effectiveness of the protection of personal data of beneficiaries of and participants in the Erasmus+ and European Solidarity Corps programmes managed by DG EAC</w:t>
            </w:r>
          </w:p>
        </w:tc>
        <w:tc>
          <w:tcPr>
            <w:tcW w:w="2782" w:type="dxa"/>
            <w:gridSpan w:val="2"/>
            <w:tcBorders>
              <w:top w:val="single" w:sz="4" w:space="0" w:color="D9D9D9"/>
              <w:bottom w:val="single" w:sz="4" w:space="0" w:color="D9D9D9"/>
            </w:tcBorders>
          </w:tcPr>
          <w:p w14:paraId="6C8803A7" w14:textId="78F91562" w:rsidR="00634269" w:rsidRPr="004B6CD8" w:rsidRDefault="00AE5BB5" w:rsidP="008A53FC">
            <w:pPr>
              <w:spacing w:before="60" w:after="60"/>
              <w:rPr>
                <w:b/>
                <w:bCs/>
                <w:noProof/>
                <w:lang w:val="en-GB"/>
              </w:rPr>
            </w:pPr>
            <w:r w:rsidRPr="004B6CD8">
              <w:rPr>
                <w:b/>
                <w:bCs/>
                <w:noProof/>
                <w:lang w:val="en-GB"/>
              </w:rPr>
              <w:t>Transfer of personal data to third countries</w:t>
            </w:r>
          </w:p>
        </w:tc>
        <w:tc>
          <w:tcPr>
            <w:tcW w:w="1475" w:type="dxa"/>
            <w:tcBorders>
              <w:top w:val="single" w:sz="4" w:space="0" w:color="D9D9D9"/>
              <w:bottom w:val="single" w:sz="4" w:space="0" w:color="D9D9D9"/>
            </w:tcBorders>
          </w:tcPr>
          <w:p w14:paraId="39010A04" w14:textId="06B65467" w:rsidR="00634269" w:rsidRPr="004B6CD8" w:rsidRDefault="00AE5BB5" w:rsidP="008A53FC">
            <w:pPr>
              <w:spacing w:before="60" w:after="60"/>
              <w:rPr>
                <w:noProof/>
                <w:lang w:val="en-GB"/>
              </w:rPr>
            </w:pPr>
            <w:r w:rsidRPr="004B6CD8">
              <w:rPr>
                <w:noProof/>
                <w:lang w:val="en-GB"/>
              </w:rPr>
              <w:t>28.1.2021</w:t>
            </w:r>
          </w:p>
        </w:tc>
        <w:tc>
          <w:tcPr>
            <w:tcW w:w="1838" w:type="dxa"/>
            <w:gridSpan w:val="2"/>
            <w:tcBorders>
              <w:top w:val="single" w:sz="4" w:space="0" w:color="D9D9D9"/>
              <w:bottom w:val="single" w:sz="4" w:space="0" w:color="D9D9D9"/>
            </w:tcBorders>
          </w:tcPr>
          <w:p w14:paraId="77EA081A" w14:textId="318ACF3D" w:rsidR="00634269" w:rsidRPr="004B6CD8" w:rsidRDefault="00AE5BB5" w:rsidP="008A53FC">
            <w:pPr>
              <w:spacing w:before="60" w:after="60"/>
              <w:rPr>
                <w:noProof/>
                <w:lang w:val="en-GB"/>
              </w:rPr>
            </w:pPr>
            <w:r w:rsidRPr="004B6CD8">
              <w:rPr>
                <w:noProof/>
                <w:lang w:val="en-GB"/>
              </w:rPr>
              <w:t>15.12.2021</w:t>
            </w:r>
          </w:p>
        </w:tc>
        <w:tc>
          <w:tcPr>
            <w:tcW w:w="1787" w:type="dxa"/>
            <w:gridSpan w:val="2"/>
            <w:tcBorders>
              <w:top w:val="single" w:sz="4" w:space="0" w:color="D9D9D9"/>
              <w:bottom w:val="single" w:sz="4" w:space="0" w:color="D9D9D9"/>
            </w:tcBorders>
          </w:tcPr>
          <w:p w14:paraId="6845C6AD" w14:textId="353D333F" w:rsidR="00634269" w:rsidRPr="004B6CD8" w:rsidRDefault="00AE5BB5" w:rsidP="008A53FC">
            <w:pPr>
              <w:spacing w:before="60" w:after="60"/>
              <w:rPr>
                <w:noProof/>
                <w:lang w:val="en-GB"/>
              </w:rPr>
            </w:pPr>
            <w:r w:rsidRPr="004B6CD8">
              <w:rPr>
                <w:noProof/>
                <w:lang w:val="en-GB"/>
              </w:rPr>
              <w:t>31.3.2026</w:t>
            </w:r>
          </w:p>
        </w:tc>
        <w:tc>
          <w:tcPr>
            <w:tcW w:w="1385" w:type="dxa"/>
            <w:tcBorders>
              <w:top w:val="single" w:sz="4" w:space="0" w:color="D9D9D9"/>
              <w:bottom w:val="single" w:sz="4" w:space="0" w:color="D9D9D9"/>
            </w:tcBorders>
          </w:tcPr>
          <w:p w14:paraId="57E3D727" w14:textId="4B4D6E98" w:rsidR="00634269" w:rsidRPr="004B6CD8" w:rsidRDefault="00AE5BB5" w:rsidP="008A53FC">
            <w:pPr>
              <w:spacing w:before="60" w:after="60"/>
              <w:rPr>
                <w:b/>
                <w:bCs/>
                <w:noProof/>
                <w:lang w:val="en-GB"/>
              </w:rPr>
            </w:pPr>
            <w:r w:rsidRPr="004B6CD8">
              <w:rPr>
                <w:b/>
                <w:bCs/>
                <w:noProof/>
                <w:lang w:val="en-GB"/>
              </w:rPr>
              <w:t>4</w:t>
            </w:r>
            <w:r w:rsidR="00634269" w:rsidRPr="004B6CD8">
              <w:rPr>
                <w:b/>
                <w:bCs/>
                <w:noProof/>
                <w:lang w:val="en-GB"/>
              </w:rPr>
              <w:t xml:space="preserve"> year</w:t>
            </w:r>
            <w:r w:rsidRPr="004B6CD8">
              <w:rPr>
                <w:b/>
                <w:bCs/>
                <w:noProof/>
                <w:lang w:val="en-GB"/>
              </w:rPr>
              <w:t>s</w:t>
            </w:r>
            <w:r w:rsidR="00634269" w:rsidRPr="004B6CD8">
              <w:rPr>
                <w:b/>
                <w:bCs/>
                <w:noProof/>
                <w:lang w:val="en-GB"/>
              </w:rPr>
              <w:t xml:space="preserve"> and </w:t>
            </w:r>
            <w:r w:rsidRPr="004B6CD8">
              <w:rPr>
                <w:b/>
                <w:bCs/>
                <w:noProof/>
                <w:lang w:val="en-GB"/>
              </w:rPr>
              <w:t>3</w:t>
            </w:r>
            <w:r w:rsidR="00634269" w:rsidRPr="004B6CD8">
              <w:rPr>
                <w:b/>
                <w:bCs/>
                <w:noProof/>
                <w:lang w:val="en-GB"/>
              </w:rPr>
              <w:t xml:space="preserve"> months</w:t>
            </w:r>
          </w:p>
        </w:tc>
      </w:tr>
      <w:tr w:rsidR="00634269" w:rsidRPr="007F05B2" w14:paraId="2A77E454" w14:textId="77777777" w:rsidTr="00523320">
        <w:trPr>
          <w:cantSplit/>
          <w:trHeight w:val="220"/>
        </w:trPr>
        <w:tc>
          <w:tcPr>
            <w:tcW w:w="14176" w:type="dxa"/>
            <w:gridSpan w:val="15"/>
            <w:tcBorders>
              <w:top w:val="single" w:sz="4" w:space="0" w:color="D9D9D9"/>
              <w:bottom w:val="single" w:sz="4" w:space="0" w:color="D9D9D9"/>
            </w:tcBorders>
          </w:tcPr>
          <w:p w14:paraId="103A5FBF" w14:textId="1CD98CC5" w:rsidR="00403D51" w:rsidRPr="004B6CD8" w:rsidRDefault="00AE5BB5" w:rsidP="00A6334C">
            <w:pPr>
              <w:jc w:val="both"/>
              <w:rPr>
                <w:noProof/>
                <w:lang w:val="en-GB"/>
              </w:rPr>
            </w:pPr>
            <w:r w:rsidRPr="004B6CD8">
              <w:rPr>
                <w:noProof/>
                <w:lang w:val="en-GB"/>
              </w:rPr>
              <w:t>The IAS recommended that DG EAC should analyse, with the support of the data protection officer (DPO), how compliance of its programmes with the internal data protection regulation (IDPR) concerning international transfers of data can be ensured in the context of the order (</w:t>
            </w:r>
            <w:r w:rsidRPr="004B6CD8">
              <w:rPr>
                <w:rStyle w:val="FootnoteReference"/>
                <w:noProof/>
                <w:lang w:val="en-GB"/>
              </w:rPr>
              <w:footnoteReference w:id="7"/>
            </w:r>
            <w:r w:rsidR="00925FD2" w:rsidRPr="004B6CD8">
              <w:rPr>
                <w:noProof/>
                <w:lang w:val="en-GB"/>
              </w:rPr>
              <w:t>)</w:t>
            </w:r>
            <w:r w:rsidRPr="004B6CD8">
              <w:rPr>
                <w:noProof/>
                <w:lang w:val="en-GB"/>
              </w:rPr>
              <w:t xml:space="preserve"> and the announced guidance of the European Data Protection Supervisor (EDPS). The DG reported that it analysed with DG JUST, the Legal Service and the DPO different possibilities to ensure compliance of the transfers to third countries with the IDPR. A suitable transfer tool (i.e. adequate and robust safeguard measures that protect the rights and freedoms of the data subjects) has been identified and the EDPS has been consulted formally on this solution - as requested by the IDPR. Agreement with the EDPS has been reached at working level but pending the appointment of the new EDPS, the formal agreement is still outstanding.</w:t>
            </w:r>
          </w:p>
        </w:tc>
      </w:tr>
      <w:tr w:rsidR="00491912" w:rsidRPr="004B6CD8" w14:paraId="472CC296" w14:textId="77777777" w:rsidTr="00523320">
        <w:trPr>
          <w:cantSplit/>
          <w:trHeight w:val="473"/>
        </w:trPr>
        <w:tc>
          <w:tcPr>
            <w:tcW w:w="839" w:type="dxa"/>
            <w:gridSpan w:val="2"/>
            <w:tcBorders>
              <w:bottom w:val="single" w:sz="4" w:space="0" w:color="D9D9D9"/>
            </w:tcBorders>
            <w:shd w:val="clear" w:color="auto" w:fill="003399" w:themeFill="text2"/>
            <w:vAlign w:val="center"/>
            <w:hideMark/>
          </w:tcPr>
          <w:p w14:paraId="0C97F47D" w14:textId="77777777" w:rsidR="007E5CD5" w:rsidRPr="004B6CD8" w:rsidRDefault="007E5CD5" w:rsidP="009B7761">
            <w:pPr>
              <w:rPr>
                <w:b/>
                <w:bCs/>
                <w:noProof/>
                <w:lang w:val="en-GB"/>
              </w:rPr>
            </w:pPr>
            <w:r w:rsidRPr="004B6CD8">
              <w:rPr>
                <w:b/>
                <w:bCs/>
                <w:noProof/>
                <w:lang w:val="en-GB"/>
              </w:rPr>
              <w:t>No.</w:t>
            </w:r>
          </w:p>
        </w:tc>
        <w:tc>
          <w:tcPr>
            <w:tcW w:w="1247" w:type="dxa"/>
            <w:gridSpan w:val="3"/>
            <w:tcBorders>
              <w:bottom w:val="single" w:sz="4" w:space="0" w:color="D9D9D9"/>
            </w:tcBorders>
            <w:shd w:val="clear" w:color="auto" w:fill="003399" w:themeFill="text2"/>
            <w:vAlign w:val="center"/>
            <w:hideMark/>
          </w:tcPr>
          <w:p w14:paraId="3C8B0879" w14:textId="77777777" w:rsidR="007E5CD5" w:rsidRPr="004B6CD8" w:rsidRDefault="007E5CD5" w:rsidP="009B7761">
            <w:pPr>
              <w:rPr>
                <w:b/>
                <w:bCs/>
                <w:noProof/>
                <w:lang w:val="en-GB"/>
              </w:rPr>
            </w:pPr>
            <w:r w:rsidRPr="004B6CD8">
              <w:rPr>
                <w:b/>
                <w:bCs/>
                <w:noProof/>
                <w:lang w:val="en-GB"/>
              </w:rPr>
              <w:t>Entity</w:t>
            </w:r>
          </w:p>
        </w:tc>
        <w:tc>
          <w:tcPr>
            <w:tcW w:w="2823" w:type="dxa"/>
            <w:gridSpan w:val="2"/>
            <w:tcBorders>
              <w:bottom w:val="single" w:sz="4" w:space="0" w:color="D9D9D9"/>
            </w:tcBorders>
            <w:shd w:val="clear" w:color="auto" w:fill="003399" w:themeFill="text2"/>
            <w:vAlign w:val="center"/>
            <w:hideMark/>
          </w:tcPr>
          <w:p w14:paraId="3CD0D21D" w14:textId="77777777" w:rsidR="007E5CD5" w:rsidRPr="004B6CD8" w:rsidRDefault="007E5CD5" w:rsidP="009B7761">
            <w:pPr>
              <w:rPr>
                <w:b/>
                <w:bCs/>
                <w:noProof/>
                <w:lang w:val="en-GB"/>
              </w:rPr>
            </w:pPr>
            <w:r w:rsidRPr="004B6CD8">
              <w:rPr>
                <w:b/>
                <w:bCs/>
                <w:noProof/>
                <w:lang w:val="en-GB"/>
              </w:rPr>
              <w:t>Audit title</w:t>
            </w:r>
          </w:p>
        </w:tc>
        <w:tc>
          <w:tcPr>
            <w:tcW w:w="2782" w:type="dxa"/>
            <w:gridSpan w:val="2"/>
            <w:tcBorders>
              <w:bottom w:val="single" w:sz="4" w:space="0" w:color="D9D9D9"/>
            </w:tcBorders>
            <w:shd w:val="clear" w:color="auto" w:fill="003399" w:themeFill="text2"/>
            <w:vAlign w:val="center"/>
            <w:hideMark/>
          </w:tcPr>
          <w:p w14:paraId="3219794E" w14:textId="77777777" w:rsidR="007E5CD5" w:rsidRPr="004B6CD8" w:rsidRDefault="007E5CD5" w:rsidP="009B7761">
            <w:pPr>
              <w:rPr>
                <w:b/>
                <w:bCs/>
                <w:noProof/>
                <w:lang w:val="en-GB"/>
              </w:rPr>
            </w:pPr>
            <w:r w:rsidRPr="004B6CD8">
              <w:rPr>
                <w:b/>
                <w:bCs/>
                <w:noProof/>
                <w:lang w:val="en-GB"/>
              </w:rPr>
              <w:t>Recommendation title</w:t>
            </w:r>
          </w:p>
        </w:tc>
        <w:tc>
          <w:tcPr>
            <w:tcW w:w="1475" w:type="dxa"/>
            <w:tcBorders>
              <w:bottom w:val="single" w:sz="4" w:space="0" w:color="D9D9D9"/>
            </w:tcBorders>
            <w:shd w:val="clear" w:color="auto" w:fill="003399" w:themeFill="text2"/>
            <w:vAlign w:val="center"/>
            <w:hideMark/>
          </w:tcPr>
          <w:p w14:paraId="164F65DA" w14:textId="77777777" w:rsidR="007E5CD5" w:rsidRPr="004B6CD8" w:rsidRDefault="007E5CD5" w:rsidP="009B7761">
            <w:pPr>
              <w:rPr>
                <w:b/>
                <w:bCs/>
                <w:noProof/>
                <w:lang w:val="en-GB"/>
              </w:rPr>
            </w:pPr>
            <w:r w:rsidRPr="004B6CD8">
              <w:rPr>
                <w:b/>
                <w:bCs/>
                <w:noProof/>
                <w:lang w:val="en-GB"/>
              </w:rPr>
              <w:t>Final report date</w:t>
            </w:r>
          </w:p>
        </w:tc>
        <w:tc>
          <w:tcPr>
            <w:tcW w:w="1838" w:type="dxa"/>
            <w:gridSpan w:val="2"/>
            <w:tcBorders>
              <w:bottom w:val="single" w:sz="4" w:space="0" w:color="D9D9D9"/>
            </w:tcBorders>
            <w:shd w:val="clear" w:color="auto" w:fill="003399" w:themeFill="text2"/>
            <w:vAlign w:val="center"/>
          </w:tcPr>
          <w:p w14:paraId="7F031EBA" w14:textId="77777777" w:rsidR="007E5CD5" w:rsidRPr="004B6CD8" w:rsidRDefault="007E5CD5" w:rsidP="009B7761">
            <w:pPr>
              <w:rPr>
                <w:b/>
                <w:bCs/>
                <w:noProof/>
                <w:lang w:val="en-GB"/>
              </w:rPr>
            </w:pPr>
            <w:r w:rsidRPr="004B6CD8">
              <w:rPr>
                <w:b/>
                <w:bCs/>
                <w:noProof/>
                <w:lang w:val="en-GB"/>
              </w:rPr>
              <w:t>Original agreed completion date</w:t>
            </w:r>
          </w:p>
        </w:tc>
        <w:tc>
          <w:tcPr>
            <w:tcW w:w="1787" w:type="dxa"/>
            <w:gridSpan w:val="2"/>
            <w:tcBorders>
              <w:bottom w:val="single" w:sz="4" w:space="0" w:color="D9D9D9"/>
            </w:tcBorders>
            <w:shd w:val="clear" w:color="auto" w:fill="003399" w:themeFill="text2"/>
            <w:vAlign w:val="center"/>
            <w:hideMark/>
          </w:tcPr>
          <w:p w14:paraId="35BED12A" w14:textId="77777777" w:rsidR="007E5CD5" w:rsidRPr="004B6CD8" w:rsidRDefault="007E5CD5" w:rsidP="009B7761">
            <w:pPr>
              <w:rPr>
                <w:b/>
                <w:bCs/>
                <w:noProof/>
                <w:lang w:val="en-GB"/>
              </w:rPr>
            </w:pPr>
            <w:r w:rsidRPr="004B6CD8">
              <w:rPr>
                <w:b/>
                <w:bCs/>
                <w:noProof/>
                <w:lang w:val="en-GB"/>
              </w:rPr>
              <w:t>Revised expected completion date</w:t>
            </w:r>
          </w:p>
        </w:tc>
        <w:tc>
          <w:tcPr>
            <w:tcW w:w="1385" w:type="dxa"/>
            <w:tcBorders>
              <w:bottom w:val="single" w:sz="4" w:space="0" w:color="D9D9D9"/>
            </w:tcBorders>
            <w:shd w:val="clear" w:color="auto" w:fill="003399" w:themeFill="text2"/>
            <w:vAlign w:val="center"/>
          </w:tcPr>
          <w:p w14:paraId="746AFB04" w14:textId="77777777" w:rsidR="007E5CD5" w:rsidRPr="004B6CD8" w:rsidRDefault="007E5CD5" w:rsidP="009B7761">
            <w:pPr>
              <w:rPr>
                <w:b/>
                <w:bCs/>
                <w:noProof/>
                <w:lang w:val="en-GB"/>
              </w:rPr>
            </w:pPr>
            <w:r w:rsidRPr="004B6CD8">
              <w:rPr>
                <w:b/>
                <w:bCs/>
                <w:noProof/>
                <w:lang w:val="en-GB"/>
              </w:rPr>
              <w:t>Expected delay</w:t>
            </w:r>
          </w:p>
        </w:tc>
      </w:tr>
      <w:tr w:rsidR="00491912" w:rsidRPr="004B6CD8" w14:paraId="638627CB" w14:textId="77777777" w:rsidTr="00523320">
        <w:trPr>
          <w:cantSplit/>
          <w:trHeight w:val="220"/>
        </w:trPr>
        <w:tc>
          <w:tcPr>
            <w:tcW w:w="839" w:type="dxa"/>
            <w:gridSpan w:val="2"/>
            <w:tcBorders>
              <w:top w:val="single" w:sz="4" w:space="0" w:color="D9D9D9"/>
              <w:bottom w:val="single" w:sz="4" w:space="0" w:color="D9D9D9"/>
            </w:tcBorders>
            <w:hideMark/>
          </w:tcPr>
          <w:p w14:paraId="1B31D155" w14:textId="4E7BF3B7" w:rsidR="006D5F04" w:rsidRPr="004B6CD8" w:rsidRDefault="006D5F04" w:rsidP="008A53FC">
            <w:pPr>
              <w:spacing w:before="60" w:after="60"/>
              <w:rPr>
                <w:b/>
                <w:bCs/>
                <w:noProof/>
                <w:lang w:val="en-GB"/>
              </w:rPr>
            </w:pPr>
            <w:r w:rsidRPr="004B6CD8">
              <w:rPr>
                <w:b/>
                <w:bCs/>
                <w:noProof/>
                <w:lang w:val="en-GB"/>
              </w:rPr>
              <w:t>IV</w:t>
            </w:r>
          </w:p>
        </w:tc>
        <w:tc>
          <w:tcPr>
            <w:tcW w:w="1247" w:type="dxa"/>
            <w:gridSpan w:val="3"/>
            <w:tcBorders>
              <w:top w:val="single" w:sz="4" w:space="0" w:color="D9D9D9"/>
              <w:bottom w:val="single" w:sz="4" w:space="0" w:color="D9D9D9"/>
            </w:tcBorders>
          </w:tcPr>
          <w:p w14:paraId="61385F60" w14:textId="77777777" w:rsidR="006D5F04" w:rsidRPr="004B6CD8" w:rsidRDefault="006D5F04" w:rsidP="008A53FC">
            <w:pPr>
              <w:spacing w:before="60" w:after="60"/>
              <w:rPr>
                <w:b/>
                <w:bCs/>
                <w:noProof/>
                <w:lang w:val="en-GB"/>
              </w:rPr>
            </w:pPr>
            <w:r w:rsidRPr="004B6CD8">
              <w:rPr>
                <w:b/>
                <w:bCs/>
                <w:noProof/>
                <w:lang w:val="en-GB"/>
              </w:rPr>
              <w:t>DG HR</w:t>
            </w:r>
          </w:p>
        </w:tc>
        <w:tc>
          <w:tcPr>
            <w:tcW w:w="2823" w:type="dxa"/>
            <w:gridSpan w:val="2"/>
            <w:tcBorders>
              <w:top w:val="single" w:sz="4" w:space="0" w:color="D9D9D9"/>
              <w:bottom w:val="single" w:sz="4" w:space="0" w:color="D9D9D9"/>
            </w:tcBorders>
          </w:tcPr>
          <w:p w14:paraId="4AAFDA3D" w14:textId="60FA2945" w:rsidR="006D5F04" w:rsidRPr="004B6CD8" w:rsidRDefault="006D5F04" w:rsidP="008A53FC">
            <w:pPr>
              <w:spacing w:before="60" w:after="60"/>
              <w:rPr>
                <w:b/>
                <w:bCs/>
                <w:noProof/>
                <w:lang w:val="en-GB"/>
              </w:rPr>
            </w:pPr>
            <w:r w:rsidRPr="004B6CD8">
              <w:rPr>
                <w:noProof/>
                <w:lang w:val="en-GB"/>
              </w:rPr>
              <w:t>IAS.</w:t>
            </w:r>
            <w:r w:rsidR="001D1A8F" w:rsidRPr="004B6CD8">
              <w:rPr>
                <w:noProof/>
                <w:lang w:val="en-GB"/>
              </w:rPr>
              <w:t xml:space="preserve"> Physical security of persons and assets in the Commission</w:t>
            </w:r>
          </w:p>
        </w:tc>
        <w:tc>
          <w:tcPr>
            <w:tcW w:w="2782" w:type="dxa"/>
            <w:gridSpan w:val="2"/>
            <w:tcBorders>
              <w:top w:val="single" w:sz="4" w:space="0" w:color="D9D9D9"/>
              <w:bottom w:val="single" w:sz="4" w:space="0" w:color="D9D9D9"/>
            </w:tcBorders>
          </w:tcPr>
          <w:p w14:paraId="5754335F" w14:textId="5430DFFD" w:rsidR="006D5F04" w:rsidRPr="004B6CD8" w:rsidRDefault="001D1A8F" w:rsidP="008A53FC">
            <w:pPr>
              <w:spacing w:before="60" w:after="60"/>
              <w:rPr>
                <w:b/>
                <w:bCs/>
                <w:noProof/>
                <w:lang w:val="en-GB"/>
              </w:rPr>
            </w:pPr>
            <w:r w:rsidRPr="004B6CD8">
              <w:rPr>
                <w:b/>
                <w:bCs/>
                <w:noProof/>
                <w:lang w:val="en-GB"/>
              </w:rPr>
              <w:t>Risk management framework for physical security at the Commission</w:t>
            </w:r>
          </w:p>
        </w:tc>
        <w:tc>
          <w:tcPr>
            <w:tcW w:w="1475" w:type="dxa"/>
            <w:tcBorders>
              <w:top w:val="single" w:sz="4" w:space="0" w:color="D9D9D9"/>
              <w:bottom w:val="single" w:sz="4" w:space="0" w:color="D9D9D9"/>
            </w:tcBorders>
          </w:tcPr>
          <w:p w14:paraId="54439BDA" w14:textId="1B380659" w:rsidR="006D5F04" w:rsidRPr="004B6CD8" w:rsidRDefault="001D1A8F" w:rsidP="008A53FC">
            <w:pPr>
              <w:spacing w:before="60" w:after="60"/>
              <w:rPr>
                <w:noProof/>
                <w:lang w:val="en-GB"/>
              </w:rPr>
            </w:pPr>
            <w:r w:rsidRPr="004B6CD8">
              <w:rPr>
                <w:noProof/>
                <w:lang w:val="en-GB"/>
              </w:rPr>
              <w:t>4.10.2022</w:t>
            </w:r>
          </w:p>
        </w:tc>
        <w:tc>
          <w:tcPr>
            <w:tcW w:w="1838" w:type="dxa"/>
            <w:gridSpan w:val="2"/>
            <w:tcBorders>
              <w:top w:val="single" w:sz="4" w:space="0" w:color="D9D9D9"/>
              <w:bottom w:val="single" w:sz="4" w:space="0" w:color="D9D9D9"/>
            </w:tcBorders>
          </w:tcPr>
          <w:p w14:paraId="40BED9F4" w14:textId="765F9332" w:rsidR="006D5F04" w:rsidRPr="004B6CD8" w:rsidRDefault="006D5F04" w:rsidP="008A53FC">
            <w:pPr>
              <w:spacing w:before="60" w:after="60"/>
              <w:rPr>
                <w:noProof/>
                <w:lang w:val="en-GB"/>
              </w:rPr>
            </w:pPr>
            <w:r w:rsidRPr="004B6CD8">
              <w:rPr>
                <w:noProof/>
                <w:lang w:val="en-GB"/>
              </w:rPr>
              <w:t>31.12.2023</w:t>
            </w:r>
          </w:p>
        </w:tc>
        <w:tc>
          <w:tcPr>
            <w:tcW w:w="1787" w:type="dxa"/>
            <w:gridSpan w:val="2"/>
            <w:tcBorders>
              <w:top w:val="single" w:sz="4" w:space="0" w:color="D9D9D9"/>
              <w:bottom w:val="single" w:sz="4" w:space="0" w:color="D9D9D9"/>
            </w:tcBorders>
          </w:tcPr>
          <w:p w14:paraId="74BC44B9" w14:textId="5D736427" w:rsidR="006D5F04" w:rsidRPr="004B6CD8" w:rsidRDefault="00D67EE9" w:rsidP="008A53FC">
            <w:pPr>
              <w:spacing w:before="60" w:after="60"/>
              <w:rPr>
                <w:noProof/>
                <w:lang w:val="en-GB"/>
              </w:rPr>
            </w:pPr>
            <w:r w:rsidRPr="004B6CD8">
              <w:rPr>
                <w:noProof/>
                <w:lang w:val="en-GB"/>
              </w:rPr>
              <w:t>3</w:t>
            </w:r>
            <w:r>
              <w:rPr>
                <w:noProof/>
                <w:lang w:val="en-GB"/>
              </w:rPr>
              <w:t>1</w:t>
            </w:r>
            <w:r w:rsidR="006D5F04" w:rsidRPr="004B6CD8">
              <w:rPr>
                <w:noProof/>
                <w:lang w:val="en-GB"/>
              </w:rPr>
              <w:t>.</w:t>
            </w:r>
            <w:r>
              <w:rPr>
                <w:noProof/>
                <w:lang w:val="en-GB"/>
              </w:rPr>
              <w:t>3</w:t>
            </w:r>
            <w:r w:rsidR="006D5F04" w:rsidRPr="004B6CD8">
              <w:rPr>
                <w:noProof/>
                <w:lang w:val="en-GB"/>
              </w:rPr>
              <w:t>.2026</w:t>
            </w:r>
          </w:p>
        </w:tc>
        <w:tc>
          <w:tcPr>
            <w:tcW w:w="1385" w:type="dxa"/>
            <w:tcBorders>
              <w:top w:val="single" w:sz="4" w:space="0" w:color="D9D9D9"/>
              <w:bottom w:val="single" w:sz="4" w:space="0" w:color="D9D9D9"/>
            </w:tcBorders>
          </w:tcPr>
          <w:p w14:paraId="75A55A4D" w14:textId="2ED6106C" w:rsidR="006D5F04" w:rsidRPr="004B6CD8" w:rsidRDefault="006D5F04" w:rsidP="008A53FC">
            <w:pPr>
              <w:spacing w:before="60" w:after="60"/>
              <w:rPr>
                <w:b/>
                <w:bCs/>
                <w:noProof/>
                <w:lang w:val="en-GB"/>
              </w:rPr>
            </w:pPr>
            <w:r w:rsidRPr="004B6CD8">
              <w:rPr>
                <w:b/>
                <w:bCs/>
                <w:noProof/>
                <w:lang w:val="en-GB"/>
              </w:rPr>
              <w:t xml:space="preserve">2 years and </w:t>
            </w:r>
            <w:r w:rsidR="00D67EE9">
              <w:rPr>
                <w:b/>
                <w:bCs/>
                <w:noProof/>
                <w:lang w:val="en-GB"/>
              </w:rPr>
              <w:t>3</w:t>
            </w:r>
            <w:r w:rsidRPr="004B6CD8">
              <w:rPr>
                <w:b/>
                <w:bCs/>
                <w:noProof/>
                <w:lang w:val="en-GB"/>
              </w:rPr>
              <w:t xml:space="preserve"> months</w:t>
            </w:r>
          </w:p>
        </w:tc>
      </w:tr>
      <w:tr w:rsidR="006D5F04" w:rsidRPr="007F05B2" w14:paraId="2D616D31" w14:textId="77777777" w:rsidTr="00523320">
        <w:trPr>
          <w:cantSplit/>
          <w:trHeight w:val="220"/>
        </w:trPr>
        <w:tc>
          <w:tcPr>
            <w:tcW w:w="14176" w:type="dxa"/>
            <w:gridSpan w:val="15"/>
            <w:tcBorders>
              <w:top w:val="single" w:sz="4" w:space="0" w:color="D9D9D9"/>
              <w:bottom w:val="single" w:sz="4" w:space="0" w:color="D9D9D9"/>
            </w:tcBorders>
          </w:tcPr>
          <w:p w14:paraId="520BE51D" w14:textId="1474B1F5" w:rsidR="00971D77" w:rsidRPr="004B6CD8" w:rsidRDefault="001D1A8F" w:rsidP="00884852">
            <w:pPr>
              <w:jc w:val="both"/>
              <w:rPr>
                <w:noProof/>
                <w:lang w:val="en-GB"/>
              </w:rPr>
            </w:pPr>
            <w:r w:rsidRPr="004B6CD8">
              <w:rPr>
                <w:noProof/>
                <w:lang w:val="en-GB"/>
              </w:rPr>
              <w:t>While the IAS acknowledged that significant progress has been made in the implementation of the action plan, the recommendation has not been fully implemented as one point related to the implementation of a new IT platform for risk management remains outstanding. The delay was mainly due to data protection issues linked to the platform initially chosen by the Secretariat-General.</w:t>
            </w:r>
          </w:p>
        </w:tc>
      </w:tr>
      <w:tr w:rsidR="003E1CCD" w:rsidRPr="004B6CD8" w14:paraId="217D998E" w14:textId="77777777" w:rsidTr="00523320">
        <w:trPr>
          <w:cantSplit/>
          <w:trHeight w:val="473"/>
        </w:trPr>
        <w:tc>
          <w:tcPr>
            <w:tcW w:w="839" w:type="dxa"/>
            <w:gridSpan w:val="2"/>
            <w:tcBorders>
              <w:bottom w:val="single" w:sz="4" w:space="0" w:color="D9D9D9"/>
            </w:tcBorders>
            <w:shd w:val="clear" w:color="auto" w:fill="003399" w:themeFill="text2"/>
            <w:vAlign w:val="center"/>
            <w:hideMark/>
          </w:tcPr>
          <w:p w14:paraId="7672052B" w14:textId="77777777" w:rsidR="007E5CD5" w:rsidRPr="004B6CD8" w:rsidRDefault="007E5CD5" w:rsidP="009B7761">
            <w:pPr>
              <w:rPr>
                <w:b/>
                <w:bCs/>
                <w:noProof/>
                <w:lang w:val="en-GB"/>
              </w:rPr>
            </w:pPr>
            <w:r w:rsidRPr="004B6CD8">
              <w:rPr>
                <w:b/>
                <w:bCs/>
                <w:noProof/>
                <w:lang w:val="en-GB"/>
              </w:rPr>
              <w:t>No.</w:t>
            </w:r>
          </w:p>
        </w:tc>
        <w:tc>
          <w:tcPr>
            <w:tcW w:w="1247" w:type="dxa"/>
            <w:gridSpan w:val="3"/>
            <w:tcBorders>
              <w:bottom w:val="single" w:sz="4" w:space="0" w:color="D9D9D9"/>
            </w:tcBorders>
            <w:shd w:val="clear" w:color="auto" w:fill="003399" w:themeFill="text2"/>
            <w:vAlign w:val="center"/>
            <w:hideMark/>
          </w:tcPr>
          <w:p w14:paraId="0F3D2FA5" w14:textId="77777777" w:rsidR="007E5CD5" w:rsidRPr="004B6CD8" w:rsidRDefault="007E5CD5" w:rsidP="009B7761">
            <w:pPr>
              <w:rPr>
                <w:b/>
                <w:bCs/>
                <w:noProof/>
                <w:lang w:val="en-GB"/>
              </w:rPr>
            </w:pPr>
            <w:r w:rsidRPr="004B6CD8">
              <w:rPr>
                <w:b/>
                <w:bCs/>
                <w:noProof/>
                <w:lang w:val="en-GB"/>
              </w:rPr>
              <w:t>Entity</w:t>
            </w:r>
          </w:p>
        </w:tc>
        <w:tc>
          <w:tcPr>
            <w:tcW w:w="2823" w:type="dxa"/>
            <w:gridSpan w:val="2"/>
            <w:tcBorders>
              <w:bottom w:val="single" w:sz="4" w:space="0" w:color="D9D9D9"/>
            </w:tcBorders>
            <w:shd w:val="clear" w:color="auto" w:fill="003399" w:themeFill="text2"/>
            <w:vAlign w:val="center"/>
            <w:hideMark/>
          </w:tcPr>
          <w:p w14:paraId="39598B82" w14:textId="77777777" w:rsidR="007E5CD5" w:rsidRPr="004B6CD8" w:rsidRDefault="007E5CD5" w:rsidP="009B7761">
            <w:pPr>
              <w:rPr>
                <w:b/>
                <w:bCs/>
                <w:noProof/>
                <w:lang w:val="en-GB"/>
              </w:rPr>
            </w:pPr>
            <w:r w:rsidRPr="004B6CD8">
              <w:rPr>
                <w:b/>
                <w:bCs/>
                <w:noProof/>
                <w:lang w:val="en-GB"/>
              </w:rPr>
              <w:t>Audit title</w:t>
            </w:r>
          </w:p>
        </w:tc>
        <w:tc>
          <w:tcPr>
            <w:tcW w:w="2782" w:type="dxa"/>
            <w:gridSpan w:val="2"/>
            <w:tcBorders>
              <w:bottom w:val="single" w:sz="4" w:space="0" w:color="D9D9D9"/>
            </w:tcBorders>
            <w:shd w:val="clear" w:color="auto" w:fill="003399" w:themeFill="text2"/>
            <w:vAlign w:val="center"/>
            <w:hideMark/>
          </w:tcPr>
          <w:p w14:paraId="3B49C767" w14:textId="77777777" w:rsidR="007E5CD5" w:rsidRPr="004B6CD8" w:rsidRDefault="007E5CD5" w:rsidP="009B7761">
            <w:pPr>
              <w:rPr>
                <w:b/>
                <w:bCs/>
                <w:noProof/>
                <w:lang w:val="en-GB"/>
              </w:rPr>
            </w:pPr>
            <w:r w:rsidRPr="004B6CD8">
              <w:rPr>
                <w:b/>
                <w:bCs/>
                <w:noProof/>
                <w:lang w:val="en-GB"/>
              </w:rPr>
              <w:t>Recommendation title</w:t>
            </w:r>
          </w:p>
        </w:tc>
        <w:tc>
          <w:tcPr>
            <w:tcW w:w="1475" w:type="dxa"/>
            <w:tcBorders>
              <w:bottom w:val="single" w:sz="4" w:space="0" w:color="D9D9D9"/>
            </w:tcBorders>
            <w:shd w:val="clear" w:color="auto" w:fill="003399" w:themeFill="text2"/>
            <w:vAlign w:val="center"/>
            <w:hideMark/>
          </w:tcPr>
          <w:p w14:paraId="187397B5" w14:textId="77777777" w:rsidR="007E5CD5" w:rsidRPr="004B6CD8" w:rsidRDefault="007E5CD5" w:rsidP="009B7761">
            <w:pPr>
              <w:rPr>
                <w:b/>
                <w:bCs/>
                <w:noProof/>
                <w:lang w:val="en-GB"/>
              </w:rPr>
            </w:pPr>
            <w:r w:rsidRPr="004B6CD8">
              <w:rPr>
                <w:b/>
                <w:bCs/>
                <w:noProof/>
                <w:lang w:val="en-GB"/>
              </w:rPr>
              <w:t>Final report date</w:t>
            </w:r>
          </w:p>
        </w:tc>
        <w:tc>
          <w:tcPr>
            <w:tcW w:w="1838" w:type="dxa"/>
            <w:gridSpan w:val="2"/>
            <w:tcBorders>
              <w:bottom w:val="single" w:sz="4" w:space="0" w:color="D9D9D9"/>
            </w:tcBorders>
            <w:shd w:val="clear" w:color="auto" w:fill="003399" w:themeFill="text2"/>
            <w:vAlign w:val="center"/>
          </w:tcPr>
          <w:p w14:paraId="258FB3B4" w14:textId="77777777" w:rsidR="007E5CD5" w:rsidRPr="004B6CD8" w:rsidRDefault="007E5CD5" w:rsidP="009B7761">
            <w:pPr>
              <w:rPr>
                <w:b/>
                <w:bCs/>
                <w:noProof/>
                <w:lang w:val="en-GB"/>
              </w:rPr>
            </w:pPr>
            <w:r w:rsidRPr="004B6CD8">
              <w:rPr>
                <w:b/>
                <w:bCs/>
                <w:noProof/>
                <w:lang w:val="en-GB"/>
              </w:rPr>
              <w:t>Original agreed completion date</w:t>
            </w:r>
          </w:p>
        </w:tc>
        <w:tc>
          <w:tcPr>
            <w:tcW w:w="1787" w:type="dxa"/>
            <w:gridSpan w:val="2"/>
            <w:tcBorders>
              <w:bottom w:val="single" w:sz="4" w:space="0" w:color="D9D9D9"/>
            </w:tcBorders>
            <w:shd w:val="clear" w:color="auto" w:fill="003399" w:themeFill="text2"/>
            <w:vAlign w:val="center"/>
            <w:hideMark/>
          </w:tcPr>
          <w:p w14:paraId="14EDB5AB" w14:textId="77777777" w:rsidR="007E5CD5" w:rsidRPr="004B6CD8" w:rsidRDefault="007E5CD5" w:rsidP="009B7761">
            <w:pPr>
              <w:rPr>
                <w:b/>
                <w:bCs/>
                <w:noProof/>
                <w:lang w:val="en-GB"/>
              </w:rPr>
            </w:pPr>
            <w:r w:rsidRPr="004B6CD8">
              <w:rPr>
                <w:b/>
                <w:bCs/>
                <w:noProof/>
                <w:lang w:val="en-GB"/>
              </w:rPr>
              <w:t>Revised expected completion date</w:t>
            </w:r>
          </w:p>
        </w:tc>
        <w:tc>
          <w:tcPr>
            <w:tcW w:w="1385" w:type="dxa"/>
            <w:tcBorders>
              <w:bottom w:val="single" w:sz="4" w:space="0" w:color="D9D9D9"/>
            </w:tcBorders>
            <w:shd w:val="clear" w:color="auto" w:fill="003399" w:themeFill="text2"/>
            <w:vAlign w:val="center"/>
          </w:tcPr>
          <w:p w14:paraId="7E5F1A37" w14:textId="77777777" w:rsidR="007E5CD5" w:rsidRPr="004B6CD8" w:rsidRDefault="007E5CD5" w:rsidP="009B7761">
            <w:pPr>
              <w:rPr>
                <w:b/>
                <w:bCs/>
                <w:noProof/>
                <w:lang w:val="en-GB"/>
              </w:rPr>
            </w:pPr>
            <w:r w:rsidRPr="004B6CD8">
              <w:rPr>
                <w:b/>
                <w:bCs/>
                <w:noProof/>
                <w:lang w:val="en-GB"/>
              </w:rPr>
              <w:t>Expected delay</w:t>
            </w:r>
          </w:p>
        </w:tc>
      </w:tr>
      <w:tr w:rsidR="003E1CCD" w:rsidRPr="004B6CD8" w14:paraId="206FF200" w14:textId="77777777" w:rsidTr="00523320">
        <w:trPr>
          <w:cantSplit/>
          <w:trHeight w:val="220"/>
        </w:trPr>
        <w:tc>
          <w:tcPr>
            <w:tcW w:w="839" w:type="dxa"/>
            <w:gridSpan w:val="2"/>
            <w:tcBorders>
              <w:top w:val="single" w:sz="4" w:space="0" w:color="D9D9D9"/>
              <w:bottom w:val="single" w:sz="4" w:space="0" w:color="D9D9D9"/>
            </w:tcBorders>
            <w:hideMark/>
          </w:tcPr>
          <w:p w14:paraId="6A78B3E0" w14:textId="6503C1B6" w:rsidR="003E1CCD" w:rsidRPr="004B6CD8" w:rsidRDefault="003E1CCD" w:rsidP="008A53FC">
            <w:pPr>
              <w:spacing w:before="60" w:after="60"/>
              <w:rPr>
                <w:b/>
                <w:bCs/>
                <w:noProof/>
                <w:lang w:val="en-GB"/>
              </w:rPr>
            </w:pPr>
            <w:r w:rsidRPr="004B6CD8">
              <w:rPr>
                <w:b/>
                <w:bCs/>
                <w:noProof/>
                <w:lang w:val="en-GB"/>
              </w:rPr>
              <w:t>V</w:t>
            </w:r>
          </w:p>
        </w:tc>
        <w:tc>
          <w:tcPr>
            <w:tcW w:w="1247" w:type="dxa"/>
            <w:gridSpan w:val="3"/>
            <w:tcBorders>
              <w:top w:val="single" w:sz="4" w:space="0" w:color="D9D9D9"/>
              <w:bottom w:val="single" w:sz="4" w:space="0" w:color="D9D9D9"/>
            </w:tcBorders>
          </w:tcPr>
          <w:p w14:paraId="339989AB" w14:textId="019A3A4E" w:rsidR="003E1CCD" w:rsidRPr="004B6CD8" w:rsidRDefault="003E1CCD" w:rsidP="008A53FC">
            <w:pPr>
              <w:spacing w:before="60" w:after="60"/>
              <w:rPr>
                <w:b/>
                <w:bCs/>
                <w:noProof/>
                <w:lang w:val="en-GB"/>
              </w:rPr>
            </w:pPr>
            <w:r w:rsidRPr="004B6CD8">
              <w:rPr>
                <w:b/>
                <w:bCs/>
                <w:noProof/>
                <w:lang w:val="en-GB"/>
              </w:rPr>
              <w:t xml:space="preserve">DG </w:t>
            </w:r>
            <w:r w:rsidR="0005337F" w:rsidRPr="004B6CD8">
              <w:rPr>
                <w:b/>
                <w:bCs/>
                <w:noProof/>
                <w:lang w:val="en-GB"/>
              </w:rPr>
              <w:t>HR</w:t>
            </w:r>
          </w:p>
        </w:tc>
        <w:tc>
          <w:tcPr>
            <w:tcW w:w="2823" w:type="dxa"/>
            <w:gridSpan w:val="2"/>
            <w:tcBorders>
              <w:top w:val="single" w:sz="4" w:space="0" w:color="D9D9D9"/>
              <w:bottom w:val="single" w:sz="4" w:space="0" w:color="D9D9D9"/>
            </w:tcBorders>
          </w:tcPr>
          <w:p w14:paraId="2443312D" w14:textId="14BB6FBF" w:rsidR="003E1CCD" w:rsidRPr="004B6CD8" w:rsidRDefault="003E1CCD" w:rsidP="008A53FC">
            <w:pPr>
              <w:spacing w:before="60" w:after="60"/>
              <w:rPr>
                <w:b/>
                <w:bCs/>
                <w:noProof/>
                <w:lang w:val="en-GB"/>
              </w:rPr>
            </w:pPr>
            <w:r w:rsidRPr="004B6CD8">
              <w:rPr>
                <w:noProof/>
                <w:lang w:val="en-GB"/>
              </w:rPr>
              <w:t>IAS.</w:t>
            </w:r>
            <w:r w:rsidR="001D1A8F" w:rsidRPr="004B6CD8">
              <w:rPr>
                <w:noProof/>
                <w:lang w:val="en-GB"/>
              </w:rPr>
              <w:t xml:space="preserve"> B4-2021-Y COMM-002: Physical security of persons and assets in the Commission</w:t>
            </w:r>
          </w:p>
        </w:tc>
        <w:tc>
          <w:tcPr>
            <w:tcW w:w="2782" w:type="dxa"/>
            <w:gridSpan w:val="2"/>
            <w:tcBorders>
              <w:top w:val="single" w:sz="4" w:space="0" w:color="D9D9D9"/>
              <w:bottom w:val="single" w:sz="4" w:space="0" w:color="D9D9D9"/>
            </w:tcBorders>
          </w:tcPr>
          <w:p w14:paraId="40C24CD6" w14:textId="75BAA8B5" w:rsidR="003E1CCD" w:rsidRPr="004B6CD8" w:rsidRDefault="001D1A8F" w:rsidP="008A53FC">
            <w:pPr>
              <w:spacing w:before="60" w:after="60"/>
              <w:rPr>
                <w:b/>
                <w:bCs/>
                <w:noProof/>
                <w:lang w:val="en-GB"/>
              </w:rPr>
            </w:pPr>
            <w:r w:rsidRPr="004B6CD8">
              <w:rPr>
                <w:b/>
                <w:bCs/>
                <w:noProof/>
                <w:lang w:val="en-GB"/>
              </w:rPr>
              <w:t>Governance framework and organisational arrangements for physical security at the Commission</w:t>
            </w:r>
          </w:p>
        </w:tc>
        <w:tc>
          <w:tcPr>
            <w:tcW w:w="1475" w:type="dxa"/>
            <w:tcBorders>
              <w:top w:val="single" w:sz="4" w:space="0" w:color="D9D9D9"/>
              <w:bottom w:val="single" w:sz="4" w:space="0" w:color="D9D9D9"/>
            </w:tcBorders>
          </w:tcPr>
          <w:p w14:paraId="790A7E23" w14:textId="14E7278C" w:rsidR="003E1CCD" w:rsidRPr="004B6CD8" w:rsidRDefault="001D1A8F" w:rsidP="008A53FC">
            <w:pPr>
              <w:spacing w:before="60" w:after="60"/>
              <w:rPr>
                <w:noProof/>
                <w:lang w:val="en-GB"/>
              </w:rPr>
            </w:pPr>
            <w:r w:rsidRPr="004B6CD8">
              <w:rPr>
                <w:noProof/>
                <w:lang w:val="en-GB"/>
              </w:rPr>
              <w:t>4.10.2022</w:t>
            </w:r>
          </w:p>
        </w:tc>
        <w:tc>
          <w:tcPr>
            <w:tcW w:w="1838" w:type="dxa"/>
            <w:gridSpan w:val="2"/>
            <w:tcBorders>
              <w:top w:val="single" w:sz="4" w:space="0" w:color="D9D9D9"/>
              <w:bottom w:val="single" w:sz="4" w:space="0" w:color="D9D9D9"/>
            </w:tcBorders>
          </w:tcPr>
          <w:p w14:paraId="22960119" w14:textId="56849E62" w:rsidR="003E1CCD" w:rsidRPr="004B6CD8" w:rsidRDefault="001D1A8F" w:rsidP="008A53FC">
            <w:pPr>
              <w:spacing w:before="60" w:after="60"/>
              <w:rPr>
                <w:noProof/>
                <w:lang w:val="en-GB"/>
              </w:rPr>
            </w:pPr>
            <w:r w:rsidRPr="004B6CD8">
              <w:rPr>
                <w:noProof/>
                <w:lang w:val="en-GB"/>
              </w:rPr>
              <w:t>31.12.2023</w:t>
            </w:r>
          </w:p>
        </w:tc>
        <w:tc>
          <w:tcPr>
            <w:tcW w:w="1787" w:type="dxa"/>
            <w:gridSpan w:val="2"/>
            <w:tcBorders>
              <w:top w:val="single" w:sz="4" w:space="0" w:color="D9D9D9"/>
              <w:bottom w:val="single" w:sz="4" w:space="0" w:color="D9D9D9"/>
            </w:tcBorders>
          </w:tcPr>
          <w:p w14:paraId="6FB4E3A3" w14:textId="02E4E46E" w:rsidR="003E1CCD" w:rsidRPr="004B6CD8" w:rsidRDefault="001D1A8F" w:rsidP="008A53FC">
            <w:pPr>
              <w:spacing w:before="60" w:after="60"/>
              <w:rPr>
                <w:noProof/>
                <w:lang w:val="en-GB"/>
              </w:rPr>
            </w:pPr>
            <w:r w:rsidRPr="004B6CD8">
              <w:rPr>
                <w:noProof/>
                <w:lang w:val="en-GB"/>
              </w:rPr>
              <w:t>30.6.2026</w:t>
            </w:r>
          </w:p>
        </w:tc>
        <w:tc>
          <w:tcPr>
            <w:tcW w:w="1385" w:type="dxa"/>
            <w:tcBorders>
              <w:top w:val="single" w:sz="4" w:space="0" w:color="D9D9D9"/>
              <w:bottom w:val="single" w:sz="4" w:space="0" w:color="D9D9D9"/>
            </w:tcBorders>
          </w:tcPr>
          <w:p w14:paraId="098DCFF7" w14:textId="221BF6C7" w:rsidR="003E1CCD" w:rsidRPr="004B6CD8" w:rsidRDefault="001D1A8F" w:rsidP="008A53FC">
            <w:pPr>
              <w:spacing w:before="60" w:after="60"/>
              <w:rPr>
                <w:b/>
                <w:bCs/>
                <w:noProof/>
                <w:lang w:val="en-GB"/>
              </w:rPr>
            </w:pPr>
            <w:r w:rsidRPr="004B6CD8">
              <w:rPr>
                <w:b/>
                <w:bCs/>
                <w:noProof/>
                <w:lang w:val="en-GB"/>
              </w:rPr>
              <w:t>2</w:t>
            </w:r>
            <w:r w:rsidR="003E1CCD" w:rsidRPr="004B6CD8">
              <w:rPr>
                <w:b/>
                <w:bCs/>
                <w:noProof/>
                <w:lang w:val="en-GB"/>
              </w:rPr>
              <w:t xml:space="preserve"> year</w:t>
            </w:r>
            <w:r w:rsidRPr="004B6CD8">
              <w:rPr>
                <w:b/>
                <w:bCs/>
                <w:noProof/>
                <w:lang w:val="en-GB"/>
              </w:rPr>
              <w:t>s</w:t>
            </w:r>
            <w:r w:rsidR="003E1CCD" w:rsidRPr="004B6CD8">
              <w:rPr>
                <w:b/>
                <w:bCs/>
                <w:noProof/>
                <w:lang w:val="en-GB"/>
              </w:rPr>
              <w:t xml:space="preserve"> and 6 months</w:t>
            </w:r>
          </w:p>
        </w:tc>
      </w:tr>
      <w:tr w:rsidR="003E1CCD" w:rsidRPr="007F05B2" w14:paraId="14DB7CD9" w14:textId="77777777" w:rsidTr="00523320">
        <w:trPr>
          <w:cantSplit/>
          <w:trHeight w:val="220"/>
        </w:trPr>
        <w:tc>
          <w:tcPr>
            <w:tcW w:w="14176" w:type="dxa"/>
            <w:gridSpan w:val="15"/>
            <w:tcBorders>
              <w:top w:val="single" w:sz="4" w:space="0" w:color="D9D9D9"/>
              <w:bottom w:val="single" w:sz="4" w:space="0" w:color="D9D9D9"/>
            </w:tcBorders>
          </w:tcPr>
          <w:p w14:paraId="661D809A" w14:textId="613B6953" w:rsidR="003E1CCD" w:rsidRPr="004B6CD8" w:rsidRDefault="001D1A8F" w:rsidP="00263034">
            <w:pPr>
              <w:rPr>
                <w:noProof/>
                <w:lang w:val="en-GB"/>
              </w:rPr>
            </w:pPr>
            <w:r w:rsidRPr="004B6CD8">
              <w:rPr>
                <w:noProof/>
                <w:lang w:val="en-GB"/>
              </w:rPr>
              <w:t>The formalisation and validation of a comprehensive security strategy was delayed, pending a decision at political level (beyond DG HR’s control) on the organisation of internal/ corporate security and on the scope of the internal security strategy, but it is now well on track for adoption in the first semester 2026. In addition, the agreement clarifying the security governance and competences with regard to the JRC sites was delayed by the ongoing revision of JRC security governance, but it is near finalisation.</w:t>
            </w:r>
          </w:p>
        </w:tc>
      </w:tr>
    </w:tbl>
    <w:p w14:paraId="1FF3E26B" w14:textId="77777777" w:rsidR="00634269" w:rsidRPr="004B6CD8" w:rsidRDefault="00634269" w:rsidP="000B5731">
      <w:pPr>
        <w:rPr>
          <w:b/>
          <w:bCs/>
          <w:noProof/>
          <w:lang w:val="en-GB"/>
        </w:rPr>
      </w:pPr>
    </w:p>
    <w:sectPr w:rsidR="00634269" w:rsidRPr="004B6CD8" w:rsidSect="00EF0838">
      <w:headerReference w:type="even" r:id="rId60"/>
      <w:headerReference w:type="default" r:id="rId61"/>
      <w:footerReference w:type="even" r:id="rId62"/>
      <w:footerReference w:type="default" r:id="rId63"/>
      <w:headerReference w:type="first" r:id="rId64"/>
      <w:footerReference w:type="first" r:id="rId65"/>
      <w:endnotePr>
        <w:pos w:val="sectEnd"/>
        <w:numFmt w:val="lowerLetter"/>
      </w:endnotePr>
      <w:pgSz w:w="16839" w:h="11907" w:orient="landscape" w:code="9"/>
      <w:pgMar w:top="1417" w:right="1247" w:bottom="1417" w:left="1247" w:header="680" w:footer="56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89D897" w14:textId="77777777" w:rsidR="006676BA" w:rsidRDefault="006676BA" w:rsidP="00AB714E">
      <w:pPr>
        <w:spacing w:after="0" w:line="240" w:lineRule="auto"/>
      </w:pPr>
      <w:r>
        <w:separator/>
      </w:r>
    </w:p>
    <w:p w14:paraId="3E46DADE" w14:textId="77777777" w:rsidR="006676BA" w:rsidRDefault="006676BA"/>
  </w:endnote>
  <w:endnote w:type="continuationSeparator" w:id="0">
    <w:p w14:paraId="2E0CFB67" w14:textId="77777777" w:rsidR="006676BA" w:rsidRDefault="006676BA" w:rsidP="00AB714E">
      <w:pPr>
        <w:spacing w:after="0" w:line="240" w:lineRule="auto"/>
      </w:pPr>
      <w:r>
        <w:continuationSeparator/>
      </w:r>
    </w:p>
    <w:p w14:paraId="43156899" w14:textId="77777777" w:rsidR="006676BA" w:rsidRDefault="006676BA"/>
  </w:endnote>
  <w:endnote w:type="continuationNotice" w:id="1">
    <w:p w14:paraId="573A3F8B" w14:textId="77777777" w:rsidR="006676BA" w:rsidRDefault="006676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 Square Sans Pro">
    <w:altName w:val="Calibri"/>
    <w:charset w:val="00"/>
    <w:family w:val="swiss"/>
    <w:pitch w:val="variable"/>
    <w:sig w:usb0="20000287" w:usb1="00000001" w:usb2="00000000" w:usb3="00000000" w:csb0="0000019F" w:csb1="00000000"/>
  </w:font>
  <w:font w:name="EC Square Sans Pro Medium">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MS Gothic"/>
    <w:charset w:val="80"/>
    <w:family w:val="roman"/>
    <w:pitch w:val="variable"/>
    <w:sig w:usb0="800002E7" w:usb1="2AC7FCFF" w:usb2="00000012" w:usb3="00000000" w:csb0="0002009F" w:csb1="00000000"/>
  </w:font>
  <w:font w:name="Tunga">
    <w:panose1 w:val="00000400000000000000"/>
    <w:charset w:val="00"/>
    <w:family w:val="swiss"/>
    <w:pitch w:val="variable"/>
    <w:sig w:usb0="00400003" w:usb1="00000000" w:usb2="00000000" w:usb3="00000000" w:csb0="00000001" w:csb1="00000000"/>
  </w:font>
  <w:font w:name="EC Square Sans Cond Pro Medium">
    <w:charset w:val="00"/>
    <w:family w:val="swiss"/>
    <w:pitch w:val="variable"/>
    <w:sig w:usb0="20000287" w:usb1="00000001" w:usb2="00000000" w:usb3="00000000" w:csb0="0000019F" w:csb1="00000000"/>
  </w:font>
  <w:font w:name="EC Square Sans Cond Pro">
    <w:altName w:val="Calibri"/>
    <w:charset w:val="00"/>
    <w:family w:val="swiss"/>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8D4D6" w14:textId="09A19132" w:rsidR="00B11637" w:rsidRPr="00B11637" w:rsidRDefault="00B11637" w:rsidP="00B11637">
    <w:pPr>
      <w:pStyle w:val="FooterCoverPage"/>
      <w:rPr>
        <w:rFonts w:ascii="Arial" w:hAnsi="Arial" w:cs="Arial"/>
        <w:b/>
        <w:sz w:val="48"/>
      </w:rPr>
    </w:pPr>
    <w:r w:rsidRPr="00B11637">
      <w:rPr>
        <w:rFonts w:ascii="Arial" w:hAnsi="Arial" w:cs="Arial"/>
        <w:b/>
        <w:sz w:val="48"/>
      </w:rPr>
      <w:t>EN</w:t>
    </w:r>
    <w:r w:rsidRPr="00B11637">
      <w:rPr>
        <w:rFonts w:ascii="Arial" w:hAnsi="Arial" w:cs="Arial"/>
        <w:b/>
        <w:sz w:val="48"/>
      </w:rPr>
      <w:tab/>
    </w:r>
    <w:r w:rsidRPr="00B11637">
      <w:rPr>
        <w:rFonts w:ascii="Arial" w:hAnsi="Arial" w:cs="Arial"/>
        <w:b/>
        <w:sz w:val="48"/>
      </w:rPr>
      <w:tab/>
    </w:r>
    <w:r w:rsidRPr="00B11637">
      <w:tab/>
    </w:r>
    <w:r w:rsidRPr="00B1163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6D5A1" w14:textId="09078FA0" w:rsidR="00B11637" w:rsidRPr="00B11637" w:rsidRDefault="00B11637" w:rsidP="00B11637">
    <w:pPr>
      <w:pStyle w:val="FooterCoverPage"/>
      <w:rPr>
        <w:rFonts w:ascii="Arial" w:hAnsi="Arial" w:cs="Arial"/>
        <w:b/>
        <w:sz w:val="48"/>
      </w:rPr>
    </w:pPr>
    <w:r w:rsidRPr="00B11637">
      <w:rPr>
        <w:rFonts w:ascii="Arial" w:hAnsi="Arial" w:cs="Arial"/>
        <w:b/>
        <w:sz w:val="48"/>
      </w:rPr>
      <w:t>EN</w:t>
    </w:r>
    <w:r w:rsidRPr="00B11637">
      <w:rPr>
        <w:rFonts w:ascii="Arial" w:hAnsi="Arial" w:cs="Arial"/>
        <w:b/>
        <w:sz w:val="48"/>
      </w:rPr>
      <w:tab/>
    </w:r>
    <w:r w:rsidRPr="00B11637">
      <w:rPr>
        <w:rFonts w:ascii="Arial" w:hAnsi="Arial" w:cs="Arial"/>
        <w:b/>
        <w:sz w:val="48"/>
      </w:rPr>
      <w:tab/>
    </w:r>
    <w:r w:rsidRPr="00B11637">
      <w:tab/>
    </w:r>
    <w:r w:rsidRPr="00B1163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D4480" w14:textId="77777777" w:rsidR="00B11637" w:rsidRPr="00B11637" w:rsidRDefault="00B11637" w:rsidP="00B1163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787E4" w14:textId="77777777" w:rsidR="00B06C55" w:rsidRDefault="00B06C55">
    <w:pPr>
      <w:pStyle w:val="Footer"/>
    </w:pPr>
    <w:r>
      <w:fldChar w:fldCharType="begin"/>
    </w:r>
    <w:r>
      <w:instrText xml:space="preserve"> PAGE   \* MERGEFORMAT </w:instrText>
    </w:r>
    <w:r>
      <w:fldChar w:fldCharType="separate"/>
    </w:r>
    <w:r>
      <w:rPr>
        <w:noProof/>
      </w:rPr>
      <w:t>2</w:t>
    </w:r>
    <w:r>
      <w:rPr>
        <w:noProof/>
      </w:rPr>
      <w:fldChar w:fldCharType="end"/>
    </w:r>
  </w:p>
  <w:p w14:paraId="7624F8D0" w14:textId="77777777" w:rsidR="00B06C55" w:rsidRPr="00953636" w:rsidRDefault="00B06C55" w:rsidP="00A4393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16ABF" w14:textId="77777777" w:rsidR="00B06C55" w:rsidRDefault="00B06C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73F8" w14:textId="77777777" w:rsidR="00B06C55" w:rsidRDefault="00B06C5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206B9" w14:textId="77777777" w:rsidR="0057062A" w:rsidRDefault="005706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126661"/>
      <w:docPartObj>
        <w:docPartGallery w:val="Page Numbers (Bottom of Page)"/>
        <w:docPartUnique/>
      </w:docPartObj>
    </w:sdtPr>
    <w:sdtEndPr>
      <w:rPr>
        <w:rFonts w:ascii="EC Square Sans Pro" w:hAnsi="EC Square Sans Pro"/>
        <w:noProof/>
        <w:sz w:val="18"/>
        <w:szCs w:val="16"/>
      </w:rPr>
    </w:sdtEndPr>
    <w:sdtContent>
      <w:p w14:paraId="60ACA004" w14:textId="005112F3" w:rsidR="0057062A" w:rsidRPr="0054240B" w:rsidRDefault="0054240B" w:rsidP="0054240B">
        <w:pPr>
          <w:pStyle w:val="Footer"/>
          <w:jc w:val="center"/>
          <w:rPr>
            <w:rFonts w:ascii="EC Square Sans Pro" w:hAnsi="EC Square Sans Pro"/>
            <w:sz w:val="18"/>
            <w:szCs w:val="16"/>
          </w:rPr>
        </w:pPr>
        <w:r w:rsidRPr="0054240B">
          <w:rPr>
            <w:rFonts w:ascii="EC Square Sans Pro" w:hAnsi="EC Square Sans Pro"/>
            <w:sz w:val="18"/>
            <w:szCs w:val="16"/>
          </w:rPr>
          <w:fldChar w:fldCharType="begin"/>
        </w:r>
        <w:r w:rsidRPr="0054240B">
          <w:rPr>
            <w:rFonts w:ascii="EC Square Sans Pro" w:hAnsi="EC Square Sans Pro"/>
            <w:sz w:val="18"/>
            <w:szCs w:val="16"/>
          </w:rPr>
          <w:instrText xml:space="preserve"> PAGE   \* MERGEFORMAT </w:instrText>
        </w:r>
        <w:r w:rsidRPr="0054240B">
          <w:rPr>
            <w:rFonts w:ascii="EC Square Sans Pro" w:hAnsi="EC Square Sans Pro"/>
            <w:sz w:val="18"/>
            <w:szCs w:val="16"/>
          </w:rPr>
          <w:fldChar w:fldCharType="separate"/>
        </w:r>
        <w:r w:rsidR="00B11637">
          <w:rPr>
            <w:rFonts w:ascii="EC Square Sans Pro" w:hAnsi="EC Square Sans Pro"/>
            <w:noProof/>
            <w:sz w:val="18"/>
            <w:szCs w:val="16"/>
          </w:rPr>
          <w:t>5</w:t>
        </w:r>
        <w:r w:rsidRPr="0054240B">
          <w:rPr>
            <w:rFonts w:ascii="EC Square Sans Pro" w:hAnsi="EC Square Sans Pro"/>
            <w:noProof/>
            <w:sz w:val="18"/>
            <w:szCs w:val="16"/>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4BDDE" w14:textId="77777777" w:rsidR="0057062A" w:rsidRDefault="0057062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F307F" w14:textId="77777777" w:rsidR="0057062A" w:rsidRDefault="0057062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sz w:val="18"/>
        <w:szCs w:val="16"/>
      </w:rPr>
      <w:id w:val="924000463"/>
      <w:docPartObj>
        <w:docPartGallery w:val="Page Numbers (Bottom of Page)"/>
        <w:docPartUnique/>
      </w:docPartObj>
    </w:sdtPr>
    <w:sdtEndPr>
      <w:rPr>
        <w:rFonts w:ascii="EC Square Sans Pro" w:hAnsi="EC Square Sans Pro"/>
        <w:noProof/>
        <w:color w:val="808080" w:themeColor="background1" w:themeShade="80"/>
        <w:szCs w:val="18"/>
      </w:rPr>
    </w:sdtEndPr>
    <w:sdtContent>
      <w:p w14:paraId="59C00C91" w14:textId="13055392" w:rsidR="0057062A" w:rsidRPr="0054240B" w:rsidRDefault="0054240B" w:rsidP="0054240B">
        <w:pPr>
          <w:pStyle w:val="Footer"/>
          <w:jc w:val="center"/>
          <w:rPr>
            <w:rFonts w:ascii="EC Square Sans Pro" w:hAnsi="EC Square Sans Pro"/>
            <w:color w:val="808080"/>
            <w:sz w:val="18"/>
            <w:szCs w:val="16"/>
          </w:rPr>
        </w:pPr>
        <w:r w:rsidRPr="0054240B">
          <w:rPr>
            <w:rFonts w:ascii="EC Square Sans Pro" w:hAnsi="EC Square Sans Pro"/>
            <w:color w:val="808080"/>
            <w:sz w:val="18"/>
            <w:szCs w:val="16"/>
          </w:rPr>
          <w:fldChar w:fldCharType="begin"/>
        </w:r>
        <w:r w:rsidRPr="0054240B">
          <w:rPr>
            <w:rFonts w:ascii="EC Square Sans Pro" w:hAnsi="EC Square Sans Pro"/>
            <w:color w:val="808080"/>
            <w:sz w:val="18"/>
            <w:szCs w:val="16"/>
          </w:rPr>
          <w:instrText xml:space="preserve"> PAGE   \* MERGEFORMAT </w:instrText>
        </w:r>
        <w:r w:rsidRPr="0054240B">
          <w:rPr>
            <w:rFonts w:ascii="EC Square Sans Pro" w:hAnsi="EC Square Sans Pro"/>
            <w:color w:val="808080"/>
            <w:sz w:val="18"/>
            <w:szCs w:val="16"/>
          </w:rPr>
          <w:fldChar w:fldCharType="separate"/>
        </w:r>
        <w:r w:rsidR="00B11637">
          <w:rPr>
            <w:rFonts w:ascii="EC Square Sans Pro" w:hAnsi="EC Square Sans Pro"/>
            <w:noProof/>
            <w:color w:val="808080"/>
            <w:sz w:val="18"/>
            <w:szCs w:val="16"/>
          </w:rPr>
          <w:t>6</w:t>
        </w:r>
        <w:r w:rsidRPr="0054240B">
          <w:rPr>
            <w:rFonts w:ascii="EC Square Sans Pro" w:hAnsi="EC Square Sans Pro"/>
            <w:noProof/>
            <w:color w:val="808080"/>
            <w:sz w:val="18"/>
            <w:szCs w:val="16"/>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B79FE" w14:textId="77777777" w:rsidR="0057062A" w:rsidRDefault="0057062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76A8E" w14:textId="77777777" w:rsidR="0057062A" w:rsidRDefault="0057062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808080"/>
        <w:sz w:val="18"/>
        <w:szCs w:val="16"/>
      </w:rPr>
      <w:id w:val="-1691523208"/>
      <w:docPartObj>
        <w:docPartGallery w:val="Page Numbers (Bottom of Page)"/>
        <w:docPartUnique/>
      </w:docPartObj>
    </w:sdtPr>
    <w:sdtEndPr>
      <w:rPr>
        <w:rFonts w:ascii="EC Square Sans Pro" w:hAnsi="EC Square Sans Pro"/>
        <w:noProof/>
        <w:color w:val="808080" w:themeColor="background1" w:themeShade="80"/>
        <w:szCs w:val="18"/>
      </w:rPr>
    </w:sdtEndPr>
    <w:sdtContent>
      <w:p w14:paraId="60D69460" w14:textId="16F8DFCA" w:rsidR="00E95B33" w:rsidRPr="0054240B" w:rsidRDefault="00E95B33" w:rsidP="0054240B">
        <w:pPr>
          <w:pStyle w:val="Footer"/>
          <w:jc w:val="center"/>
          <w:rPr>
            <w:rFonts w:ascii="EC Square Sans Pro" w:hAnsi="EC Square Sans Pro"/>
            <w:color w:val="808080"/>
            <w:sz w:val="18"/>
            <w:szCs w:val="16"/>
          </w:rPr>
        </w:pPr>
        <w:r w:rsidRPr="0054240B">
          <w:rPr>
            <w:rFonts w:ascii="EC Square Sans Pro" w:hAnsi="EC Square Sans Pro"/>
            <w:color w:val="808080"/>
            <w:sz w:val="18"/>
            <w:szCs w:val="16"/>
          </w:rPr>
          <w:fldChar w:fldCharType="begin"/>
        </w:r>
        <w:r w:rsidRPr="0054240B">
          <w:rPr>
            <w:rFonts w:ascii="EC Square Sans Pro" w:hAnsi="EC Square Sans Pro"/>
            <w:color w:val="808080"/>
            <w:sz w:val="18"/>
            <w:szCs w:val="16"/>
          </w:rPr>
          <w:instrText xml:space="preserve"> PAGE   \* MERGEFORMAT </w:instrText>
        </w:r>
        <w:r w:rsidRPr="0054240B">
          <w:rPr>
            <w:rFonts w:ascii="EC Square Sans Pro" w:hAnsi="EC Square Sans Pro"/>
            <w:color w:val="808080"/>
            <w:sz w:val="18"/>
            <w:szCs w:val="16"/>
          </w:rPr>
          <w:fldChar w:fldCharType="separate"/>
        </w:r>
        <w:r w:rsidR="00B11637">
          <w:rPr>
            <w:rFonts w:ascii="EC Square Sans Pro" w:hAnsi="EC Square Sans Pro"/>
            <w:noProof/>
            <w:color w:val="808080"/>
            <w:sz w:val="18"/>
            <w:szCs w:val="16"/>
          </w:rPr>
          <w:t>9</w:t>
        </w:r>
        <w:r w:rsidRPr="0054240B">
          <w:rPr>
            <w:rFonts w:ascii="EC Square Sans Pro" w:hAnsi="EC Square Sans Pro"/>
            <w:noProof/>
            <w:color w:val="808080"/>
            <w:sz w:val="18"/>
            <w:szCs w:val="16"/>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62753" w14:textId="77777777" w:rsidR="0057062A" w:rsidRDefault="0057062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A07F6" w14:textId="77777777" w:rsidR="0057062A" w:rsidRDefault="0057062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26A1A" w14:textId="77777777" w:rsidR="0057062A" w:rsidRPr="00A75711" w:rsidRDefault="0057062A" w:rsidP="00A43939">
    <w:pPr>
      <w:pStyle w:val="Footer"/>
      <w:rPr>
        <w:color w:val="7F7F7F"/>
        <w:sz w:val="18"/>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73281" w14:textId="77777777" w:rsidR="0057062A" w:rsidRDefault="0057062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4E62C" w14:textId="77777777" w:rsidR="0057062A" w:rsidRDefault="0057062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4262257"/>
      <w:docPartObj>
        <w:docPartGallery w:val="Page Numbers (Bottom of Page)"/>
        <w:docPartUnique/>
      </w:docPartObj>
    </w:sdtPr>
    <w:sdtEndPr>
      <w:rPr>
        <w:noProof/>
        <w:color w:val="7F7F7F"/>
      </w:rPr>
    </w:sdtEndPr>
    <w:sdtContent>
      <w:p w14:paraId="31654519" w14:textId="77777777" w:rsidR="0057062A" w:rsidRPr="00A75711" w:rsidRDefault="0057062A" w:rsidP="00A43939">
        <w:pPr>
          <w:pStyle w:val="Footer"/>
          <w:jc w:val="center"/>
          <w:rPr>
            <w:color w:val="7F7F7F"/>
            <w:sz w:val="18"/>
          </w:rPr>
        </w:pPr>
        <w:r w:rsidRPr="0057062A">
          <w:rPr>
            <w:rFonts w:ascii="EC Square Sans Pro" w:hAnsi="EC Square Sans Pro"/>
            <w:noProof/>
            <w:color w:val="595959"/>
            <w:sz w:val="18"/>
          </w:rPr>
          <w:fldChar w:fldCharType="begin"/>
        </w:r>
        <w:r w:rsidRPr="0057062A">
          <w:rPr>
            <w:rFonts w:ascii="EC Square Sans Pro" w:hAnsi="EC Square Sans Pro"/>
            <w:noProof/>
            <w:color w:val="595959"/>
            <w:sz w:val="18"/>
          </w:rPr>
          <w:instrText xml:space="preserve"> PAGE   \* MERGEFORMAT </w:instrText>
        </w:r>
        <w:r w:rsidRPr="0057062A">
          <w:rPr>
            <w:rFonts w:ascii="EC Square Sans Pro" w:hAnsi="EC Square Sans Pro"/>
            <w:noProof/>
            <w:color w:val="595959"/>
            <w:sz w:val="18"/>
          </w:rPr>
          <w:fldChar w:fldCharType="separate"/>
        </w:r>
        <w:r w:rsidRPr="0057062A">
          <w:rPr>
            <w:rFonts w:ascii="EC Square Sans Pro" w:hAnsi="EC Square Sans Pro"/>
            <w:noProof/>
            <w:color w:val="595959"/>
            <w:sz w:val="18"/>
          </w:rPr>
          <w:t>54</w:t>
        </w:r>
        <w:r w:rsidRPr="0057062A">
          <w:rPr>
            <w:rFonts w:ascii="EC Square Sans Pro" w:hAnsi="EC Square Sans Pro"/>
            <w:noProof/>
            <w:color w:val="595959"/>
            <w:sz w:val="18"/>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87F21" w14:textId="77777777" w:rsidR="0057062A" w:rsidRDefault="0057062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67609" w14:textId="139684C2" w:rsidR="0057062A" w:rsidRDefault="0057062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C06CE" w14:textId="77777777" w:rsidR="0057062A" w:rsidRPr="00A75711" w:rsidRDefault="0057062A" w:rsidP="00A43939">
    <w:pPr>
      <w:pStyle w:val="Footer"/>
      <w:rPr>
        <w:color w:val="7F7F7F"/>
        <w:sz w:val="18"/>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20413" w14:textId="77777777" w:rsidR="0057062A" w:rsidRDefault="0057062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F71A4" w14:textId="77777777" w:rsidR="0057062A" w:rsidRDefault="0057062A">
    <w:pPr>
      <w:pStyle w:val="Footer"/>
    </w:pPr>
  </w:p>
  <w:p w14:paraId="09CEC04C" w14:textId="77777777" w:rsidR="00E96C6E" w:rsidRDefault="00E96C6E"/>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1460725"/>
      <w:docPartObj>
        <w:docPartGallery w:val="Page Numbers (Bottom of Page)"/>
        <w:docPartUnique/>
      </w:docPartObj>
    </w:sdtPr>
    <w:sdtEndPr>
      <w:rPr>
        <w:rFonts w:ascii="EC Square Sans Pro" w:hAnsi="EC Square Sans Pro"/>
        <w:noProof/>
        <w:color w:val="595959"/>
        <w:sz w:val="18"/>
        <w:szCs w:val="18"/>
      </w:rPr>
    </w:sdtEndPr>
    <w:sdtContent>
      <w:p w14:paraId="201885B1" w14:textId="77777777" w:rsidR="0057062A" w:rsidRPr="0057062A" w:rsidRDefault="0057062A" w:rsidP="00A43939">
        <w:pPr>
          <w:pStyle w:val="Footer"/>
          <w:jc w:val="center"/>
          <w:rPr>
            <w:rFonts w:ascii="EC Square Sans Pro" w:hAnsi="EC Square Sans Pro"/>
            <w:noProof/>
            <w:color w:val="595959"/>
            <w:sz w:val="18"/>
          </w:rPr>
        </w:pPr>
        <w:r w:rsidRPr="0057062A">
          <w:rPr>
            <w:rFonts w:ascii="EC Square Sans Pro" w:hAnsi="EC Square Sans Pro"/>
            <w:noProof/>
            <w:color w:val="595959"/>
            <w:sz w:val="18"/>
          </w:rPr>
          <w:fldChar w:fldCharType="begin"/>
        </w:r>
        <w:r w:rsidRPr="0057062A">
          <w:rPr>
            <w:rFonts w:ascii="EC Square Sans Pro" w:hAnsi="EC Square Sans Pro"/>
            <w:noProof/>
            <w:color w:val="595959"/>
            <w:sz w:val="18"/>
          </w:rPr>
          <w:instrText xml:space="preserve"> PAGE   \* MERGEFORMAT </w:instrText>
        </w:r>
        <w:r w:rsidRPr="0057062A">
          <w:rPr>
            <w:rFonts w:ascii="EC Square Sans Pro" w:hAnsi="EC Square Sans Pro"/>
            <w:noProof/>
            <w:color w:val="595959"/>
            <w:sz w:val="18"/>
          </w:rPr>
          <w:fldChar w:fldCharType="separate"/>
        </w:r>
        <w:r w:rsidRPr="0057062A">
          <w:rPr>
            <w:rFonts w:ascii="EC Square Sans Pro" w:hAnsi="EC Square Sans Pro"/>
            <w:noProof/>
            <w:color w:val="595959"/>
            <w:sz w:val="18"/>
          </w:rPr>
          <w:t>57</w:t>
        </w:r>
        <w:r w:rsidRPr="0057062A">
          <w:rPr>
            <w:rFonts w:ascii="EC Square Sans Pro" w:hAnsi="EC Square Sans Pro"/>
            <w:noProof/>
            <w:color w:val="595959"/>
            <w:sz w:val="18"/>
          </w:rPr>
          <w:fldChar w:fldCharType="end"/>
        </w:r>
      </w:p>
    </w:sdtContent>
  </w:sdt>
  <w:p w14:paraId="62FDB668" w14:textId="77777777" w:rsidR="00E96C6E" w:rsidRDefault="00E96C6E"/>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5B489" w14:textId="77777777" w:rsidR="0057062A" w:rsidRDefault="00570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1AFAE" w14:textId="77777777" w:rsidR="006676BA" w:rsidRDefault="006676BA" w:rsidP="00AB714E">
      <w:pPr>
        <w:spacing w:after="0" w:line="240" w:lineRule="auto"/>
      </w:pPr>
      <w:r>
        <w:separator/>
      </w:r>
    </w:p>
    <w:p w14:paraId="35BD617B" w14:textId="77777777" w:rsidR="006676BA" w:rsidRDefault="006676BA"/>
  </w:footnote>
  <w:footnote w:type="continuationSeparator" w:id="0">
    <w:p w14:paraId="79A1ECB0" w14:textId="77777777" w:rsidR="006676BA" w:rsidRDefault="006676BA" w:rsidP="00AB714E">
      <w:pPr>
        <w:spacing w:after="0" w:line="240" w:lineRule="auto"/>
      </w:pPr>
      <w:r>
        <w:continuationSeparator/>
      </w:r>
    </w:p>
    <w:p w14:paraId="54021120" w14:textId="77777777" w:rsidR="006676BA" w:rsidRDefault="006676BA"/>
  </w:footnote>
  <w:footnote w:type="continuationNotice" w:id="1">
    <w:p w14:paraId="3AB06B36" w14:textId="77777777" w:rsidR="006676BA" w:rsidRDefault="006676BA">
      <w:pPr>
        <w:spacing w:after="0" w:line="240" w:lineRule="auto"/>
      </w:pPr>
    </w:p>
  </w:footnote>
  <w:footnote w:id="2">
    <w:p w14:paraId="6FFB4F26" w14:textId="33507B33" w:rsidR="00511068" w:rsidRPr="001F3B03" w:rsidRDefault="001F3B03" w:rsidP="001F3B03">
      <w:pPr>
        <w:pStyle w:val="FootnoteText"/>
        <w:spacing w:before="0"/>
        <w:ind w:left="284" w:hanging="284"/>
        <w:rPr>
          <w:rFonts w:eastAsia="SimSun"/>
          <w:kern w:val="0"/>
          <w:szCs w:val="18"/>
          <w:lang w:eastAsia="en-GB"/>
          <w14:ligatures w14:val="none"/>
        </w:rPr>
      </w:pPr>
      <w:r w:rsidRPr="001F3B03">
        <w:rPr>
          <w:rFonts w:eastAsia="SimSun"/>
          <w:kern w:val="0"/>
          <w:szCs w:val="18"/>
          <w:lang w:eastAsia="en-GB"/>
          <w14:ligatures w14:val="none"/>
        </w:rPr>
        <w:t>(</w:t>
      </w:r>
      <w:r w:rsidR="00511068" w:rsidRPr="001F3B03">
        <w:rPr>
          <w:rFonts w:eastAsia="SimSun"/>
          <w:kern w:val="0"/>
          <w:szCs w:val="18"/>
          <w:vertAlign w:val="superscript"/>
          <w:lang w:eastAsia="en-GB"/>
          <w14:ligatures w14:val="none"/>
        </w:rPr>
        <w:footnoteRef/>
      </w:r>
      <w:r w:rsidRPr="001F3B03">
        <w:rPr>
          <w:rFonts w:eastAsia="SimSun"/>
          <w:kern w:val="0"/>
          <w:szCs w:val="18"/>
          <w:lang w:eastAsia="en-GB"/>
          <w14:ligatures w14:val="none"/>
        </w:rPr>
        <w:t>)</w:t>
      </w:r>
      <w:r w:rsidR="00511068" w:rsidRPr="001F3B03">
        <w:rPr>
          <w:rFonts w:eastAsia="SimSun"/>
          <w:kern w:val="0"/>
          <w:szCs w:val="18"/>
          <w:lang w:eastAsia="en-GB"/>
          <w14:ligatures w14:val="none"/>
        </w:rPr>
        <w:t xml:space="preserve"> </w:t>
      </w:r>
      <w:r>
        <w:rPr>
          <w:rFonts w:eastAsia="SimSun"/>
          <w:kern w:val="0"/>
          <w:szCs w:val="18"/>
          <w:lang w:eastAsia="en-GB"/>
          <w14:ligatures w14:val="none"/>
        </w:rPr>
        <w:tab/>
      </w:r>
      <w:r w:rsidR="00511068" w:rsidRPr="001F3B03">
        <w:rPr>
          <w:rFonts w:eastAsia="SimSun"/>
          <w:kern w:val="0"/>
          <w:szCs w:val="18"/>
          <w:lang w:eastAsia="en-GB"/>
          <w14:ligatures w14:val="none"/>
        </w:rPr>
        <w:t xml:space="preserve">The IAS also finalised </w:t>
      </w:r>
      <w:r>
        <w:rPr>
          <w:rFonts w:eastAsia="SimSun"/>
          <w:kern w:val="0"/>
          <w:szCs w:val="18"/>
          <w:lang w:eastAsia="en-GB"/>
          <w14:ligatures w14:val="none"/>
        </w:rPr>
        <w:t xml:space="preserve">six non-assurance – advisory or insight </w:t>
      </w:r>
      <w:r w:rsidR="00B9588D">
        <w:rPr>
          <w:rFonts w:eastAsia="SimSun"/>
          <w:kern w:val="0"/>
          <w:szCs w:val="18"/>
          <w:lang w:eastAsia="en-GB"/>
          <w14:ligatures w14:val="none"/>
        </w:rPr>
        <w:t>–</w:t>
      </w:r>
      <w:r>
        <w:rPr>
          <w:rFonts w:eastAsia="SimSun"/>
          <w:kern w:val="0"/>
          <w:szCs w:val="18"/>
          <w:lang w:eastAsia="en-GB"/>
          <w14:ligatures w14:val="none"/>
        </w:rPr>
        <w:t xml:space="preserve"> engagements</w:t>
      </w:r>
      <w:r w:rsidR="00B9588D">
        <w:rPr>
          <w:rFonts w:eastAsia="SimSun"/>
          <w:kern w:val="0"/>
          <w:szCs w:val="18"/>
          <w:lang w:eastAsia="en-GB"/>
          <w14:ligatures w14:val="none"/>
        </w:rPr>
        <w:t>. These</w:t>
      </w:r>
      <w:r w:rsidR="00511068" w:rsidRPr="001F3B03">
        <w:rPr>
          <w:rFonts w:eastAsia="SimSun"/>
          <w:kern w:val="0"/>
          <w:szCs w:val="18"/>
          <w:lang w:eastAsia="en-GB"/>
          <w14:ligatures w14:val="none"/>
        </w:rPr>
        <w:t xml:space="preserve"> are not </w:t>
      </w:r>
      <w:r w:rsidR="002841BA">
        <w:rPr>
          <w:rFonts w:eastAsia="SimSun"/>
          <w:kern w:val="0"/>
          <w:szCs w:val="18"/>
          <w:lang w:eastAsia="en-GB"/>
          <w14:ligatures w14:val="none"/>
        </w:rPr>
        <w:t>covered</w:t>
      </w:r>
      <w:r w:rsidR="00511068" w:rsidRPr="001F3B03">
        <w:rPr>
          <w:rFonts w:eastAsia="SimSun"/>
          <w:kern w:val="0"/>
          <w:szCs w:val="18"/>
          <w:lang w:eastAsia="en-GB"/>
          <w14:ligatures w14:val="none"/>
        </w:rPr>
        <w:t xml:space="preserve"> in this Staff Working Document.</w:t>
      </w:r>
    </w:p>
  </w:footnote>
  <w:footnote w:id="3">
    <w:p w14:paraId="09A2A7E7" w14:textId="7F4567B3" w:rsidR="00511068" w:rsidRPr="001F3B03" w:rsidRDefault="001F3B03" w:rsidP="001F3B03">
      <w:pPr>
        <w:pStyle w:val="FootnoteText"/>
        <w:spacing w:before="0"/>
        <w:ind w:left="284" w:hanging="284"/>
        <w:rPr>
          <w:rFonts w:eastAsia="SimSun"/>
          <w:kern w:val="0"/>
          <w:szCs w:val="18"/>
          <w:lang w:eastAsia="en-GB"/>
          <w14:ligatures w14:val="none"/>
        </w:rPr>
      </w:pPr>
      <w:r w:rsidRPr="001F3B03">
        <w:rPr>
          <w:rFonts w:eastAsia="SimSun"/>
          <w:kern w:val="0"/>
          <w:szCs w:val="18"/>
          <w:lang w:eastAsia="en-GB"/>
          <w14:ligatures w14:val="none"/>
        </w:rPr>
        <w:t>(</w:t>
      </w:r>
      <w:r w:rsidR="00511068" w:rsidRPr="001F3B03">
        <w:rPr>
          <w:rFonts w:eastAsia="SimSun"/>
          <w:kern w:val="0"/>
          <w:szCs w:val="18"/>
          <w:vertAlign w:val="superscript"/>
          <w:lang w:eastAsia="en-GB"/>
          <w14:ligatures w14:val="none"/>
        </w:rPr>
        <w:footnoteRef/>
      </w:r>
      <w:r w:rsidRPr="001F3B03">
        <w:rPr>
          <w:rFonts w:eastAsia="SimSun"/>
          <w:kern w:val="0"/>
          <w:szCs w:val="18"/>
          <w:lang w:eastAsia="en-GB"/>
          <w14:ligatures w14:val="none"/>
        </w:rPr>
        <w:t>)</w:t>
      </w:r>
      <w:r w:rsidR="00511068" w:rsidRPr="001F3B03">
        <w:rPr>
          <w:rFonts w:eastAsia="SimSun"/>
          <w:kern w:val="0"/>
          <w:szCs w:val="18"/>
          <w:lang w:eastAsia="en-GB"/>
          <w14:ligatures w14:val="none"/>
        </w:rPr>
        <w:t xml:space="preserve"> </w:t>
      </w:r>
      <w:r w:rsidRPr="001F3B03">
        <w:rPr>
          <w:rFonts w:eastAsia="SimSun"/>
          <w:kern w:val="0"/>
          <w:szCs w:val="18"/>
          <w:lang w:eastAsia="en-GB"/>
          <w14:ligatures w14:val="none"/>
        </w:rPr>
        <w:tab/>
      </w:r>
      <w:r w:rsidR="00511068" w:rsidRPr="001F3B03">
        <w:rPr>
          <w:rFonts w:eastAsia="SimSun"/>
          <w:kern w:val="0"/>
          <w:szCs w:val="18"/>
          <w:lang w:eastAsia="en-GB"/>
          <w14:ligatures w14:val="none"/>
        </w:rPr>
        <w:t xml:space="preserve">Except for the audit on </w:t>
      </w:r>
      <w:r w:rsidR="002841BA">
        <w:rPr>
          <w:rFonts w:eastAsia="SimSun"/>
          <w:kern w:val="0"/>
          <w:szCs w:val="18"/>
          <w:lang w:eastAsia="en-GB"/>
          <w14:ligatures w14:val="none"/>
        </w:rPr>
        <w:t>h</w:t>
      </w:r>
      <w:r w:rsidR="00511068" w:rsidRPr="001F3B03">
        <w:rPr>
          <w:rFonts w:eastAsia="SimSun"/>
          <w:kern w:val="0"/>
          <w:szCs w:val="18"/>
          <w:lang w:eastAsia="en-GB"/>
          <w14:ligatures w14:val="none"/>
        </w:rPr>
        <w:t xml:space="preserve">uman </w:t>
      </w:r>
      <w:r w:rsidR="002841BA">
        <w:rPr>
          <w:rFonts w:eastAsia="SimSun"/>
          <w:kern w:val="0"/>
          <w:szCs w:val="18"/>
          <w:lang w:eastAsia="en-GB"/>
          <w14:ligatures w14:val="none"/>
        </w:rPr>
        <w:t>r</w:t>
      </w:r>
      <w:r w:rsidR="00511068" w:rsidRPr="001F3B03">
        <w:rPr>
          <w:rFonts w:eastAsia="SimSun"/>
          <w:kern w:val="0"/>
          <w:szCs w:val="18"/>
          <w:lang w:eastAsia="en-GB"/>
          <w14:ligatures w14:val="none"/>
        </w:rPr>
        <w:t>esources management in DG FISMA</w:t>
      </w:r>
      <w:r w:rsidR="00C761B2">
        <w:rPr>
          <w:rFonts w:eastAsia="SimSun"/>
          <w:kern w:val="0"/>
          <w:szCs w:val="18"/>
          <w:lang w:eastAsia="en-GB"/>
          <w14:ligatures w14:val="none"/>
        </w:rPr>
        <w:t>. T</w:t>
      </w:r>
      <w:r w:rsidR="007450D4">
        <w:rPr>
          <w:rFonts w:eastAsia="SimSun"/>
          <w:kern w:val="0"/>
          <w:szCs w:val="18"/>
          <w:lang w:eastAsia="en-GB"/>
          <w14:ligatures w14:val="none"/>
        </w:rPr>
        <w:t xml:space="preserve">he </w:t>
      </w:r>
      <w:r w:rsidR="00511068" w:rsidRPr="001F3B03">
        <w:rPr>
          <w:rFonts w:eastAsia="SimSun"/>
          <w:kern w:val="0"/>
          <w:szCs w:val="18"/>
          <w:lang w:eastAsia="en-GB"/>
          <w14:ligatures w14:val="none"/>
        </w:rPr>
        <w:t xml:space="preserve">final audit report was issued </w:t>
      </w:r>
      <w:r w:rsidR="007450D4">
        <w:rPr>
          <w:rFonts w:eastAsia="SimSun"/>
          <w:kern w:val="0"/>
          <w:szCs w:val="18"/>
          <w:lang w:eastAsia="en-GB"/>
          <w14:ligatures w14:val="none"/>
        </w:rPr>
        <w:t xml:space="preserve">for this </w:t>
      </w:r>
      <w:r w:rsidR="00511068" w:rsidRPr="001F3B03">
        <w:rPr>
          <w:rFonts w:eastAsia="SimSun"/>
          <w:kern w:val="0"/>
          <w:szCs w:val="18"/>
          <w:lang w:eastAsia="en-GB"/>
          <w14:ligatures w14:val="none"/>
        </w:rPr>
        <w:t>on 10 March 2025 and w</w:t>
      </w:r>
      <w:r w:rsidR="007450D4">
        <w:rPr>
          <w:rFonts w:eastAsia="SimSun"/>
          <w:kern w:val="0"/>
          <w:szCs w:val="18"/>
          <w:lang w:eastAsia="en-GB"/>
          <w14:ligatures w14:val="none"/>
        </w:rPr>
        <w:t xml:space="preserve">as, </w:t>
      </w:r>
      <w:r w:rsidR="00511068" w:rsidRPr="001F3B03">
        <w:rPr>
          <w:rFonts w:eastAsia="SimSun"/>
          <w:kern w:val="0"/>
          <w:szCs w:val="18"/>
          <w:lang w:eastAsia="en-GB"/>
          <w14:ligatures w14:val="none"/>
        </w:rPr>
        <w:t>exception</w:t>
      </w:r>
      <w:r w:rsidR="007450D4">
        <w:rPr>
          <w:rFonts w:eastAsia="SimSun"/>
          <w:kern w:val="0"/>
          <w:szCs w:val="18"/>
          <w:lang w:eastAsia="en-GB"/>
          <w14:ligatures w14:val="none"/>
        </w:rPr>
        <w:t>ally</w:t>
      </w:r>
      <w:r w:rsidR="00511068" w:rsidRPr="001F3B03">
        <w:rPr>
          <w:rFonts w:eastAsia="SimSun"/>
          <w:kern w:val="0"/>
          <w:szCs w:val="18"/>
          <w:lang w:eastAsia="en-GB"/>
          <w14:ligatures w14:val="none"/>
        </w:rPr>
        <w:t xml:space="preserve">, included in the </w:t>
      </w:r>
      <w:r w:rsidR="007450D4">
        <w:rPr>
          <w:rFonts w:eastAsia="SimSun"/>
          <w:kern w:val="0"/>
          <w:szCs w:val="18"/>
          <w:lang w:eastAsia="en-GB"/>
          <w14:ligatures w14:val="none"/>
        </w:rPr>
        <w:t>a</w:t>
      </w:r>
      <w:r w:rsidR="00511068" w:rsidRPr="001F3B03">
        <w:rPr>
          <w:rFonts w:eastAsia="SimSun"/>
          <w:kern w:val="0"/>
          <w:szCs w:val="18"/>
          <w:lang w:eastAsia="en-GB"/>
          <w14:ligatures w14:val="none"/>
        </w:rPr>
        <w:t xml:space="preserve">nnual </w:t>
      </w:r>
      <w:r w:rsidR="00392621">
        <w:rPr>
          <w:rFonts w:eastAsia="SimSun"/>
          <w:kern w:val="0"/>
          <w:szCs w:val="18"/>
          <w:lang w:eastAsia="en-GB"/>
          <w14:ligatures w14:val="none"/>
        </w:rPr>
        <w:t>i</w:t>
      </w:r>
      <w:r w:rsidR="00511068" w:rsidRPr="001F3B03">
        <w:rPr>
          <w:rFonts w:eastAsia="SimSun"/>
          <w:kern w:val="0"/>
          <w:szCs w:val="18"/>
          <w:lang w:eastAsia="en-GB"/>
          <w14:ligatures w14:val="none"/>
        </w:rPr>
        <w:t xml:space="preserve">nternal </w:t>
      </w:r>
      <w:r w:rsidR="00392621">
        <w:rPr>
          <w:rFonts w:eastAsia="SimSun"/>
          <w:kern w:val="0"/>
          <w:szCs w:val="18"/>
          <w:lang w:eastAsia="en-GB"/>
          <w14:ligatures w14:val="none"/>
        </w:rPr>
        <w:t>a</w:t>
      </w:r>
      <w:r w:rsidR="00511068" w:rsidRPr="001F3B03">
        <w:rPr>
          <w:rFonts w:eastAsia="SimSun"/>
          <w:kern w:val="0"/>
          <w:szCs w:val="18"/>
          <w:lang w:eastAsia="en-GB"/>
          <w14:ligatures w14:val="none"/>
        </w:rPr>
        <w:t>udit report for 2024.</w:t>
      </w:r>
    </w:p>
  </w:footnote>
  <w:footnote w:id="4">
    <w:p w14:paraId="620E7C5B" w14:textId="205177B6" w:rsidR="0057062A" w:rsidRPr="001F3B03" w:rsidRDefault="0057062A" w:rsidP="00F47663">
      <w:pPr>
        <w:pStyle w:val="FootnoteText"/>
        <w:spacing w:before="0"/>
        <w:ind w:left="284" w:hanging="284"/>
        <w:rPr>
          <w:rFonts w:eastAsia="SimSun"/>
          <w:kern w:val="0"/>
          <w:szCs w:val="18"/>
          <w:lang w:eastAsia="en-GB"/>
          <w14:ligatures w14:val="none"/>
        </w:rPr>
      </w:pPr>
      <w:r w:rsidRPr="001F3B03">
        <w:rPr>
          <w:rFonts w:eastAsia="SimSun"/>
          <w:kern w:val="0"/>
          <w:szCs w:val="18"/>
          <w:lang w:eastAsia="en-GB"/>
          <w14:ligatures w14:val="none"/>
        </w:rPr>
        <w:t>(</w:t>
      </w:r>
      <w:r w:rsidRPr="001F3B03">
        <w:rPr>
          <w:rFonts w:eastAsia="SimSun"/>
          <w:kern w:val="0"/>
          <w:szCs w:val="18"/>
          <w:vertAlign w:val="superscript"/>
          <w:lang w:eastAsia="en-GB"/>
          <w14:ligatures w14:val="none"/>
        </w:rPr>
        <w:footnoteRef/>
      </w:r>
      <w:r w:rsidRPr="001F3B03">
        <w:rPr>
          <w:rFonts w:eastAsia="SimSun"/>
          <w:kern w:val="0"/>
          <w:szCs w:val="18"/>
          <w:lang w:eastAsia="en-GB"/>
          <w14:ligatures w14:val="none"/>
        </w:rPr>
        <w:t>)</w:t>
      </w:r>
      <w:r w:rsidR="00F47663">
        <w:rPr>
          <w:rFonts w:eastAsia="SimSun"/>
          <w:kern w:val="0"/>
          <w:szCs w:val="18"/>
          <w:lang w:eastAsia="en-GB"/>
          <w14:ligatures w14:val="none"/>
        </w:rPr>
        <w:t xml:space="preserve"> </w:t>
      </w:r>
      <w:r w:rsidR="00F47663" w:rsidRPr="001F3B03">
        <w:rPr>
          <w:rFonts w:eastAsia="SimSun"/>
          <w:kern w:val="0"/>
          <w:szCs w:val="18"/>
          <w:lang w:eastAsia="en-GB"/>
          <w14:ligatures w14:val="none"/>
        </w:rPr>
        <w:tab/>
      </w:r>
      <w:r w:rsidRPr="001F3B03">
        <w:rPr>
          <w:rFonts w:eastAsia="SimSun"/>
          <w:kern w:val="0"/>
          <w:szCs w:val="18"/>
          <w:lang w:eastAsia="en-GB"/>
          <w14:ligatures w14:val="none"/>
        </w:rPr>
        <w:t xml:space="preserve">Important recommendations are not listed in this </w:t>
      </w:r>
      <w:r w:rsidR="009A2487" w:rsidRPr="001F3B03">
        <w:rPr>
          <w:rFonts w:eastAsia="SimSun"/>
          <w:kern w:val="0"/>
          <w:szCs w:val="18"/>
          <w:lang w:eastAsia="en-GB"/>
          <w14:ligatures w14:val="none"/>
        </w:rPr>
        <w:t>Staff Working Document</w:t>
      </w:r>
      <w:r w:rsidRPr="001F3B03">
        <w:rPr>
          <w:rFonts w:eastAsia="SimSun"/>
          <w:kern w:val="0"/>
          <w:szCs w:val="18"/>
          <w:lang w:eastAsia="en-GB"/>
          <w14:ligatures w14:val="none"/>
        </w:rPr>
        <w:t>.</w:t>
      </w:r>
    </w:p>
  </w:footnote>
  <w:footnote w:id="5">
    <w:p w14:paraId="60C5A631" w14:textId="0CBFF828" w:rsidR="0057062A" w:rsidRPr="00511068" w:rsidRDefault="0057062A" w:rsidP="001F3B03">
      <w:pPr>
        <w:pStyle w:val="FootnoteText"/>
        <w:spacing w:before="0"/>
        <w:ind w:left="284" w:hanging="284"/>
      </w:pPr>
      <w:r w:rsidRPr="001F3B03">
        <w:rPr>
          <w:rFonts w:eastAsia="SimSun"/>
          <w:kern w:val="0"/>
          <w:szCs w:val="18"/>
          <w:lang w:eastAsia="en-GB"/>
          <w14:ligatures w14:val="none"/>
        </w:rPr>
        <w:t>(</w:t>
      </w:r>
      <w:r w:rsidRPr="001F3B03">
        <w:rPr>
          <w:rFonts w:eastAsia="SimSun"/>
          <w:kern w:val="0"/>
          <w:szCs w:val="18"/>
          <w:vertAlign w:val="superscript"/>
          <w:lang w:eastAsia="en-GB"/>
          <w14:ligatures w14:val="none"/>
        </w:rPr>
        <w:footnoteRef/>
      </w:r>
      <w:r w:rsidRPr="001F3B03">
        <w:rPr>
          <w:rFonts w:eastAsia="SimSun"/>
          <w:kern w:val="0"/>
          <w:szCs w:val="18"/>
          <w:lang w:eastAsia="en-GB"/>
          <w14:ligatures w14:val="none"/>
        </w:rPr>
        <w:t>)</w:t>
      </w:r>
      <w:r w:rsidR="00511068" w:rsidRPr="001F3B03">
        <w:rPr>
          <w:rFonts w:eastAsia="SimSun"/>
          <w:kern w:val="0"/>
          <w:szCs w:val="18"/>
          <w:lang w:eastAsia="en-GB"/>
          <w14:ligatures w14:val="none"/>
        </w:rPr>
        <w:t xml:space="preserve"> </w:t>
      </w:r>
      <w:r w:rsidR="001F3B03">
        <w:rPr>
          <w:rFonts w:eastAsia="SimSun"/>
          <w:kern w:val="0"/>
          <w:szCs w:val="18"/>
          <w:lang w:eastAsia="en-GB"/>
          <w14:ligatures w14:val="none"/>
        </w:rPr>
        <w:tab/>
      </w:r>
      <w:r w:rsidRPr="001F3B03">
        <w:rPr>
          <w:rFonts w:eastAsia="SimSun"/>
          <w:kern w:val="0"/>
          <w:szCs w:val="18"/>
          <w:lang w:eastAsia="en-GB"/>
          <w14:ligatures w14:val="none"/>
        </w:rPr>
        <w:t xml:space="preserve">Each summary reflects the IAS’s assessment of the implementation status of audit recommendations at the end of the follow-up engagement. </w:t>
      </w:r>
      <w:r w:rsidR="00AA146B" w:rsidRPr="001F3B03">
        <w:rPr>
          <w:rFonts w:eastAsia="SimSun"/>
          <w:kern w:val="0"/>
          <w:szCs w:val="18"/>
          <w:lang w:eastAsia="en-GB"/>
          <w14:ligatures w14:val="none"/>
        </w:rPr>
        <w:t>They</w:t>
      </w:r>
      <w:r w:rsidRPr="001F3B03">
        <w:rPr>
          <w:rFonts w:eastAsia="SimSun"/>
          <w:kern w:val="0"/>
          <w:szCs w:val="18"/>
          <w:lang w:eastAsia="en-GB"/>
          <w14:ligatures w14:val="none"/>
        </w:rPr>
        <w:t xml:space="preserve"> do</w:t>
      </w:r>
      <w:r w:rsidR="00AA146B" w:rsidRPr="001F3B03">
        <w:rPr>
          <w:rFonts w:eastAsia="SimSun"/>
          <w:kern w:val="0"/>
          <w:szCs w:val="18"/>
          <w:lang w:eastAsia="en-GB"/>
          <w14:ligatures w14:val="none"/>
        </w:rPr>
        <w:t xml:space="preserve"> </w:t>
      </w:r>
      <w:r w:rsidRPr="001F3B03">
        <w:rPr>
          <w:rFonts w:eastAsia="SimSun"/>
          <w:kern w:val="0"/>
          <w:szCs w:val="18"/>
          <w:lang w:eastAsia="en-GB"/>
          <w14:ligatures w14:val="none"/>
        </w:rPr>
        <w:t>not take</w:t>
      </w:r>
      <w:r w:rsidR="00AA146B" w:rsidRPr="001F3B03">
        <w:rPr>
          <w:rFonts w:eastAsia="SimSun"/>
          <w:kern w:val="0"/>
          <w:szCs w:val="18"/>
          <w:lang w:eastAsia="en-GB"/>
          <w14:ligatures w14:val="none"/>
        </w:rPr>
        <w:t xml:space="preserve"> </w:t>
      </w:r>
      <w:r w:rsidR="00E035AC" w:rsidRPr="001F3B03">
        <w:rPr>
          <w:rFonts w:eastAsia="SimSun"/>
          <w:kern w:val="0"/>
          <w:szCs w:val="18"/>
          <w:lang w:eastAsia="en-GB"/>
          <w14:ligatures w14:val="none"/>
        </w:rPr>
        <w:t xml:space="preserve">into </w:t>
      </w:r>
      <w:r w:rsidRPr="001F3B03">
        <w:rPr>
          <w:rFonts w:eastAsia="SimSun"/>
          <w:kern w:val="0"/>
          <w:szCs w:val="18"/>
          <w:lang w:eastAsia="en-GB"/>
          <w14:ligatures w14:val="none"/>
        </w:rPr>
        <w:t>account</w:t>
      </w:r>
      <w:r w:rsidR="00AA146B" w:rsidRPr="001F3B03">
        <w:rPr>
          <w:rFonts w:eastAsia="SimSun"/>
          <w:kern w:val="0"/>
          <w:szCs w:val="18"/>
          <w:lang w:eastAsia="en-GB"/>
          <w14:ligatures w14:val="none"/>
        </w:rPr>
        <w:t xml:space="preserve"> </w:t>
      </w:r>
      <w:r w:rsidRPr="001F3B03">
        <w:rPr>
          <w:rFonts w:eastAsia="SimSun"/>
          <w:kern w:val="0"/>
          <w:szCs w:val="18"/>
          <w:lang w:eastAsia="en-GB"/>
          <w14:ligatures w14:val="none"/>
        </w:rPr>
        <w:t>any further action</w:t>
      </w:r>
      <w:r w:rsidR="0068325D" w:rsidRPr="001F3B03">
        <w:rPr>
          <w:rFonts w:eastAsia="SimSun"/>
          <w:kern w:val="0"/>
          <w:szCs w:val="18"/>
          <w:lang w:eastAsia="en-GB"/>
          <w14:ligatures w14:val="none"/>
        </w:rPr>
        <w:t xml:space="preserve"> which </w:t>
      </w:r>
      <w:r w:rsidRPr="001F3B03">
        <w:rPr>
          <w:rFonts w:eastAsia="SimSun"/>
          <w:kern w:val="0"/>
          <w:szCs w:val="18"/>
          <w:lang w:eastAsia="en-GB"/>
          <w14:ligatures w14:val="none"/>
        </w:rPr>
        <w:t>the auditee may have undertaken and reported to the IAS since the release of the IAS</w:t>
      </w:r>
      <w:r w:rsidR="00E07AA7">
        <w:rPr>
          <w:rFonts w:eastAsia="SimSun"/>
          <w:kern w:val="0"/>
          <w:szCs w:val="18"/>
          <w:lang w:eastAsia="en-GB"/>
          <w14:ligatures w14:val="none"/>
        </w:rPr>
        <w:t>’s</w:t>
      </w:r>
      <w:r w:rsidRPr="001F3B03">
        <w:rPr>
          <w:rFonts w:eastAsia="SimSun"/>
          <w:kern w:val="0"/>
          <w:szCs w:val="18"/>
          <w:lang w:eastAsia="en-GB"/>
          <w14:ligatures w14:val="none"/>
        </w:rPr>
        <w:t xml:space="preserve"> follow-up note</w:t>
      </w:r>
      <w:r w:rsidR="0068325D" w:rsidRPr="001F3B03">
        <w:rPr>
          <w:rFonts w:eastAsia="SimSun"/>
          <w:kern w:val="0"/>
          <w:szCs w:val="18"/>
          <w:lang w:eastAsia="en-GB"/>
          <w14:ligatures w14:val="none"/>
        </w:rPr>
        <w:t xml:space="preserve"> even if that action may have had an impact on </w:t>
      </w:r>
      <w:r w:rsidR="00DF305B" w:rsidRPr="001F3B03">
        <w:rPr>
          <w:rFonts w:eastAsia="SimSun"/>
          <w:kern w:val="0"/>
          <w:szCs w:val="18"/>
          <w:lang w:eastAsia="en-GB"/>
          <w14:ligatures w14:val="none"/>
        </w:rPr>
        <w:t>the status</w:t>
      </w:r>
      <w:r w:rsidR="0068325D" w:rsidRPr="001F3B03">
        <w:rPr>
          <w:rFonts w:eastAsia="SimSun"/>
          <w:kern w:val="0"/>
          <w:szCs w:val="18"/>
          <w:lang w:eastAsia="en-GB"/>
          <w14:ligatures w14:val="none"/>
        </w:rPr>
        <w:t xml:space="preserve"> of the recommendations.</w:t>
      </w:r>
      <w:r w:rsidR="0068325D" w:rsidRPr="00511068">
        <w:t xml:space="preserve"> </w:t>
      </w:r>
    </w:p>
  </w:footnote>
  <w:footnote w:id="6">
    <w:p w14:paraId="419DD481" w14:textId="1CBA9656" w:rsidR="002A5948" w:rsidRPr="002A5948" w:rsidRDefault="002A5948" w:rsidP="007C12E5">
      <w:pPr>
        <w:pStyle w:val="FootnoteText"/>
        <w:spacing w:before="0"/>
        <w:ind w:left="357" w:hanging="357"/>
      </w:pPr>
      <w:r>
        <w:t>(</w:t>
      </w:r>
      <w:r>
        <w:rPr>
          <w:rStyle w:val="FootnoteReference"/>
        </w:rPr>
        <w:footnoteRef/>
      </w:r>
      <w:r>
        <w:t xml:space="preserve">) </w:t>
      </w:r>
      <w:r w:rsidR="007C12E5">
        <w:tab/>
        <w:t xml:space="preserve">This section </w:t>
      </w:r>
      <w:r w:rsidR="00E14E91">
        <w:t xml:space="preserve">only </w:t>
      </w:r>
      <w:r w:rsidR="00BF41A6">
        <w:t xml:space="preserve">lists audit engagements </w:t>
      </w:r>
      <w:r w:rsidR="007A703F">
        <w:t xml:space="preserve">where a </w:t>
      </w:r>
      <w:r w:rsidR="002F52D6">
        <w:t>follow-up</w:t>
      </w:r>
      <w:r w:rsidR="007A703F">
        <w:t xml:space="preserve"> was performed</w:t>
      </w:r>
      <w:r w:rsidR="00D95E93">
        <w:t xml:space="preserve"> </w:t>
      </w:r>
      <w:r w:rsidR="007A703F">
        <w:t>on</w:t>
      </w:r>
      <w:r w:rsidR="00E14E91">
        <w:t xml:space="preserve"> </w:t>
      </w:r>
      <w:r w:rsidR="002F52D6">
        <w:t xml:space="preserve">critical </w:t>
      </w:r>
      <w:r w:rsidR="00E14E91">
        <w:t>and/</w:t>
      </w:r>
      <w:r w:rsidR="002F52D6">
        <w:t>or very important recommendations.</w:t>
      </w:r>
      <w:r w:rsidR="007A703F">
        <w:t xml:space="preserve"> </w:t>
      </w:r>
    </w:p>
  </w:footnote>
  <w:footnote w:id="7">
    <w:p w14:paraId="20A27341" w14:textId="7C0E1066" w:rsidR="00AE5BB5" w:rsidRPr="00AE5BB5" w:rsidRDefault="00AE5BB5" w:rsidP="00F05716">
      <w:pPr>
        <w:pStyle w:val="FootnoteText"/>
        <w:tabs>
          <w:tab w:val="left" w:pos="7088"/>
        </w:tabs>
        <w:spacing w:before="0"/>
        <w:ind w:left="227" w:hanging="227"/>
        <w:rPr>
          <w:szCs w:val="16"/>
        </w:rPr>
      </w:pPr>
      <w:r w:rsidRPr="00925FD2">
        <w:rPr>
          <w:szCs w:val="16"/>
          <w:lang w:val="en-IE"/>
        </w:rPr>
        <w:t>(</w:t>
      </w:r>
      <w:r w:rsidRPr="00925FD2">
        <w:rPr>
          <w:szCs w:val="16"/>
          <w:vertAlign w:val="superscript"/>
          <w:lang w:val="en-IE"/>
        </w:rPr>
        <w:footnoteRef/>
      </w:r>
      <w:r w:rsidR="00925FD2">
        <w:rPr>
          <w:szCs w:val="16"/>
          <w:lang w:val="en-IE"/>
        </w:rPr>
        <w:t>)</w:t>
      </w:r>
      <w:r w:rsidRPr="00925FD2">
        <w:rPr>
          <w:szCs w:val="16"/>
          <w:lang w:val="en-IE"/>
        </w:rPr>
        <w:t xml:space="preserve"> </w:t>
      </w:r>
      <w:r w:rsidR="00390F27">
        <w:rPr>
          <w:szCs w:val="16"/>
          <w:lang w:val="en-IE"/>
        </w:rPr>
        <w:tab/>
      </w:r>
      <w:r w:rsidRPr="00AE5BB5">
        <w:rPr>
          <w:szCs w:val="16"/>
        </w:rPr>
        <w:t>On 14 October 2020, the EDPS gave all European institutions a formal order to a) perform a mapping exercise to provide information concerning processing operations that involve</w:t>
      </w:r>
      <w:r>
        <w:rPr>
          <w:szCs w:val="16"/>
        </w:rPr>
        <w:t xml:space="preserve"> </w:t>
      </w:r>
      <w:r w:rsidRPr="00AE5BB5">
        <w:rPr>
          <w:szCs w:val="16"/>
        </w:rPr>
        <w:t>international transfers of data and b) report to it any identified risks and gaps, in accordance with the order. The EDPS also asked the European institutions to perform, in a second</w:t>
      </w:r>
      <w:r>
        <w:rPr>
          <w:szCs w:val="16"/>
        </w:rPr>
        <w:t xml:space="preserve"> </w:t>
      </w:r>
      <w:r w:rsidRPr="00AE5BB5">
        <w:rPr>
          <w:szCs w:val="16"/>
        </w:rPr>
        <w:t>phase, a case-by-case ‘transfer impact assessment’ to identify the level of protection provided by the third country of destination of the data. To facilitate this assessment, the EDPS will provide in due time specific guidance.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BA835" w14:textId="77777777" w:rsidR="00B11637" w:rsidRPr="00B11637" w:rsidRDefault="00B11637" w:rsidP="00B1163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5BF7E" w14:textId="77777777" w:rsidR="00B11637" w:rsidRPr="00B11637" w:rsidRDefault="00B11637" w:rsidP="00B1163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F88AA" w14:textId="77777777" w:rsidR="00B11637" w:rsidRPr="00B11637" w:rsidRDefault="00B11637" w:rsidP="00B1163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B24C9" w14:textId="77777777" w:rsidR="00B06C55" w:rsidRDefault="00B06C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5828E" w14:textId="77777777" w:rsidR="00B06C55" w:rsidRDefault="00B06C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CAC5A" w14:textId="77777777" w:rsidR="00B06C55" w:rsidRDefault="00B06C5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8F7A1" w14:textId="77777777" w:rsidR="0057062A" w:rsidRDefault="0057062A">
    <w:pPr>
      <w:pStyle w:val="Header"/>
    </w:pPr>
    <w:r w:rsidRPr="00D61A2C">
      <w:rPr>
        <w:noProof/>
        <w:lang w:eastAsia="en-GB"/>
      </w:rPr>
      <mc:AlternateContent>
        <mc:Choice Requires="wps">
          <w:drawing>
            <wp:anchor distT="0" distB="0" distL="114300" distR="114300" simplePos="0" relativeHeight="251658245" behindDoc="0" locked="1" layoutInCell="1" allowOverlap="1" wp14:anchorId="7F4E1DC1" wp14:editId="72D870E4">
              <wp:simplePos x="0" y="0"/>
              <wp:positionH relativeFrom="page">
                <wp:align>left</wp:align>
              </wp:positionH>
              <wp:positionV relativeFrom="page">
                <wp:posOffset>-635</wp:posOffset>
              </wp:positionV>
              <wp:extent cx="7620635" cy="212090"/>
              <wp:effectExtent l="0" t="0" r="0" b="0"/>
              <wp:wrapNone/>
              <wp:docPr id="14568" name="Rectangle 145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BE5A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CE87C3B">
            <v:rect id="Rectangle 14568" style="position:absolute;margin-left:0;margin-top:-.05pt;width:600.05pt;height:16.7pt;z-index:251658245;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spid="_x0000_s1026" fillcolor="#fbe5a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" w14:anchorId="04BC9C52">
              <o:lock v:ext="edit" aspectratio="t"/>
              <w10:wrap anchorx="page" anchory="page"/>
              <w10:anchorlock/>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B4010" w14:textId="7D7C5F88" w:rsidR="0057062A" w:rsidRDefault="0057062A">
    <w:r w:rsidRPr="00D61A2C">
      <w:rPr>
        <w:noProof/>
        <w:lang w:val="en-GB" w:eastAsia="en-GB"/>
      </w:rPr>
      <mc:AlternateContent>
        <mc:Choice Requires="wps">
          <w:drawing>
            <wp:anchor distT="0" distB="0" distL="114300" distR="114300" simplePos="0" relativeHeight="251658246" behindDoc="0" locked="1" layoutInCell="1" allowOverlap="1" wp14:anchorId="746FDDBA" wp14:editId="311F0025">
              <wp:simplePos x="0" y="0"/>
              <wp:positionH relativeFrom="page">
                <wp:posOffset>-53340</wp:posOffset>
              </wp:positionH>
              <wp:positionV relativeFrom="page">
                <wp:posOffset>5715</wp:posOffset>
              </wp:positionV>
              <wp:extent cx="7620635" cy="212090"/>
              <wp:effectExtent l="0" t="0" r="0" b="0"/>
              <wp:wrapNone/>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chemeClr val="accent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A97CBCE">
            <v:rect id="Rectangle 1" style="position:absolute;margin-left:-4.2pt;margin-top:.45pt;width:600.05pt;height:16.7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dc165d [3208]"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" w14:anchorId="21548BB6">
              <o:lock v:ext="edit" aspectratio="t"/>
              <w10:wrap anchorx="page" anchory="page"/>
              <w10:anchorlock/>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CC6D8" w14:textId="77777777" w:rsidR="0057062A" w:rsidRDefault="005706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78774" w14:textId="77777777" w:rsidR="0057062A" w:rsidRDefault="0057062A">
    <w:pPr>
      <w:pStyle w:val="Header"/>
    </w:pPr>
    <w:r w:rsidRPr="00D61A2C">
      <w:rPr>
        <w:noProof/>
        <w:lang w:eastAsia="en-GB"/>
      </w:rPr>
      <mc:AlternateContent>
        <mc:Choice Requires="wps">
          <w:drawing>
            <wp:anchor distT="0" distB="0" distL="114300" distR="114300" simplePos="0" relativeHeight="251658250" behindDoc="0" locked="1" layoutInCell="1" allowOverlap="1" wp14:anchorId="6B3E322A" wp14:editId="4C1753D2">
              <wp:simplePos x="0" y="0"/>
              <wp:positionH relativeFrom="page">
                <wp:align>left</wp:align>
              </wp:positionH>
              <wp:positionV relativeFrom="page">
                <wp:posOffset>-635</wp:posOffset>
              </wp:positionV>
              <wp:extent cx="7620635" cy="212090"/>
              <wp:effectExtent l="0" t="0" r="0" b="0"/>
              <wp:wrapNone/>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BE5A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8C88A2D">
            <v:rect id="Rectangle 4" style="position:absolute;margin-left:0;margin-top:-.05pt;width:600.05pt;height:16.7pt;z-index:25165825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spid="_x0000_s1026" fillcolor="#fbe5a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" w14:anchorId="00B86B1F">
              <o:lock v:ext="edit" aspectratio="t"/>
              <w10:wrap anchorx="page" anchory="page"/>
              <w10:anchorlock/>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3FB19C" w14:textId="77777777" w:rsidR="0057062A" w:rsidRDefault="0057062A">
    <w:r>
      <w:rPr>
        <w:noProof/>
        <w:lang w:val="en-GB" w:eastAsia="en-GB"/>
      </w:rPr>
      <w:drawing>
        <wp:anchor distT="0" distB="0" distL="114300" distR="114300" simplePos="0" relativeHeight="251658248" behindDoc="1" locked="0" layoutInCell="1" allowOverlap="1" wp14:anchorId="35F772AF" wp14:editId="5F18E803">
          <wp:simplePos x="0" y="0"/>
          <wp:positionH relativeFrom="page">
            <wp:posOffset>0</wp:posOffset>
          </wp:positionH>
          <wp:positionV relativeFrom="page">
            <wp:posOffset>8965</wp:posOffset>
          </wp:positionV>
          <wp:extent cx="7558812" cy="10692063"/>
          <wp:effectExtent l="0" t="0" r="4445" b="0"/>
          <wp:wrapNone/>
          <wp:docPr id="2071753475" name="Picture 2071753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758318" name="Picture 1524758318"/>
                  <pic:cNvPicPr/>
                </pic:nvPicPr>
                <pic:blipFill>
                  <a:blip r:embed="rId1">
                    <a:extLst>
                      <a:ext uri="{28A0092B-C50C-407E-A947-70E740481C1C}">
                        <a14:useLocalDpi xmlns:a14="http://schemas.microsoft.com/office/drawing/2010/main" val="0"/>
                      </a:ext>
                    </a:extLst>
                  </a:blip>
                  <a:stretch>
                    <a:fillRect/>
                  </a:stretch>
                </pic:blipFill>
                <pic:spPr>
                  <a:xfrm>
                    <a:off x="0" y="0"/>
                    <a:ext cx="7558812" cy="10692063"/>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mc:AlternateContent>
        <mc:Choice Requires="wps">
          <w:drawing>
            <wp:anchor distT="0" distB="0" distL="114300" distR="114300" simplePos="0" relativeHeight="251658247" behindDoc="1" locked="0" layoutInCell="0" allowOverlap="1" wp14:anchorId="6287722F" wp14:editId="3B657270">
              <wp:simplePos x="0" y="0"/>
              <wp:positionH relativeFrom="margin">
                <wp:align>center</wp:align>
              </wp:positionH>
              <wp:positionV relativeFrom="margin">
                <wp:align>center</wp:align>
              </wp:positionV>
              <wp:extent cx="6092190" cy="2030730"/>
              <wp:effectExtent l="0" t="1724025" r="0" b="1341120"/>
              <wp:wrapNone/>
              <wp:docPr id="14589" name="Text Box 14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92190" cy="20307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BD53EEB" w14:textId="77777777" w:rsidR="0057062A" w:rsidRDefault="0057062A" w:rsidP="00A43939">
                          <w:pPr>
                            <w:pStyle w:val="NormalWeb"/>
                            <w:spacing w:before="0" w:after="0"/>
                            <w:jc w:val="center"/>
                          </w:pPr>
                          <w:r>
                            <w:rPr>
                              <w:rFonts w:ascii="EC Square Sans Pro" w:hAnsi="EC Square Sans Pro"/>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287722F" id="_x0000_t202" coordsize="21600,21600" o:spt="202" path="m,l,21600r21600,l21600,xe">
              <v:stroke joinstyle="miter"/>
              <v:path gradientshapeok="t" o:connecttype="rect"/>
            </v:shapetype>
            <v:shape id="Text Box 14589" o:spid="_x0000_s1026" type="#_x0000_t202" style="position:absolute;margin-left:0;margin-top:0;width:479.7pt;height:159.9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" o:allowincell="f" filled="f" stroked="f">
              <v:stroke joinstyle="round"/>
              <o:lock v:ext="edit" shapetype="t"/>
              <v:textbox style="mso-fit-shape-to-text:t">
                <w:txbxContent>
                  <w:p w14:paraId="6BD53EEB" w14:textId="77777777" w:rsidR="0057062A" w:rsidRDefault="0057062A" w:rsidP="00A43939">
                    <w:pPr>
                      <w:pStyle w:val="NormalWeb"/>
                      <w:spacing w:before="0" w:after="0"/>
                      <w:jc w:val="center"/>
                    </w:pPr>
                    <w:r>
                      <w:rPr>
                        <w:rFonts w:ascii="EC Square Sans Pro" w:hAnsi="EC Square Sans Pro"/>
                        <w:color w:val="C0C0C0"/>
                        <w:sz w:val="2"/>
                        <w:szCs w:val="2"/>
                        <w14:textFill>
                          <w14:solidFill>
                            <w14:srgbClr w14:val="C0C0C0">
                              <w14:alpha w14:val="50000"/>
                            </w14:srgbClr>
                          </w14:solidFill>
                        </w14:textFill>
                      </w:rPr>
                      <w:t>DRAFT</w:t>
                    </w:r>
                  </w:p>
                </w:txbxContent>
              </v:textbox>
              <w10:wrap anchorx="margin" anchory="margin"/>
            </v:shape>
          </w:pict>
        </mc:Fallback>
      </mc:AlternateContent>
    </w:r>
    <w:r>
      <w:cr/>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DC379" w14:textId="77777777" w:rsidR="0057062A" w:rsidRDefault="0057062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6B5DB" w14:textId="77777777" w:rsidR="0057062A" w:rsidRDefault="0057062A">
    <w:pPr>
      <w:pStyle w:val="Header"/>
    </w:pPr>
    <w:r w:rsidRPr="00D61A2C">
      <w:rPr>
        <w:noProof/>
        <w:lang w:eastAsia="en-GB"/>
      </w:rPr>
      <mc:AlternateContent>
        <mc:Choice Requires="wps">
          <w:drawing>
            <wp:anchor distT="0" distB="0" distL="114300" distR="114300" simplePos="0" relativeHeight="251658251" behindDoc="0" locked="1" layoutInCell="1" allowOverlap="1" wp14:anchorId="49A123BE" wp14:editId="45E51015">
              <wp:simplePos x="0" y="0"/>
              <wp:positionH relativeFrom="page">
                <wp:align>left</wp:align>
              </wp:positionH>
              <wp:positionV relativeFrom="page">
                <wp:posOffset>-635</wp:posOffset>
              </wp:positionV>
              <wp:extent cx="7620635" cy="212090"/>
              <wp:effectExtent l="0" t="0" r="0" b="0"/>
              <wp:wrapNone/>
              <wp:docPr id="10"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BE5A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F012CE6">
            <v:rect id="Rectangle 10" style="position:absolute;margin-left:0;margin-top:-.05pt;width:600.05pt;height:16.7pt;z-index:251658251;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spid="_x0000_s1026" fillcolor="#fbe5a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" w14:anchorId="4494828A">
              <o:lock v:ext="edit" aspectratio="t"/>
              <w10:wrap anchorx="page" anchory="page"/>
              <w10:anchorlock/>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BF05" w14:textId="753E911A" w:rsidR="00CC5C05" w:rsidRDefault="00CC5C05">
    <w:r w:rsidRPr="00D61A2C">
      <w:rPr>
        <w:noProof/>
        <w:lang w:val="en-GB" w:eastAsia="en-GB"/>
      </w:rPr>
      <mc:AlternateContent>
        <mc:Choice Requires="wps">
          <w:drawing>
            <wp:anchor distT="0" distB="0" distL="114300" distR="114300" simplePos="0" relativeHeight="251658256" behindDoc="0" locked="1" layoutInCell="1" allowOverlap="1" wp14:anchorId="4E7510F6" wp14:editId="64D769A0">
              <wp:simplePos x="0" y="0"/>
              <wp:positionH relativeFrom="page">
                <wp:posOffset>-53340</wp:posOffset>
              </wp:positionH>
              <wp:positionV relativeFrom="page">
                <wp:posOffset>5715</wp:posOffset>
              </wp:positionV>
              <wp:extent cx="7620635" cy="212090"/>
              <wp:effectExtent l="0" t="0" r="0" b="0"/>
              <wp:wrapNone/>
              <wp:docPr id="1806562406" name="Rectangle 180656240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chemeClr val="accent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A10428C">
            <v:rect id="Rectangle 1806562406" style="position:absolute;margin-left:-4.2pt;margin-top:.45pt;width:600.05pt;height:16.7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dc165d [3208]"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" w14:anchorId="1C6B29D8">
              <o:lock v:ext="edit" aspectratio="t"/>
              <w10:wrap anchorx="page" anchory="page"/>
              <w10:anchorlock/>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C9106" w14:textId="77777777" w:rsidR="0057062A" w:rsidRDefault="0057062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4677C" w14:textId="77777777" w:rsidR="0057062A" w:rsidRDefault="0057062A">
    <w:pPr>
      <w:pStyle w:val="Header"/>
    </w:pPr>
    <w:r w:rsidRPr="00D61A2C">
      <w:rPr>
        <w:noProof/>
        <w:lang w:eastAsia="en-GB"/>
      </w:rPr>
      <mc:AlternateContent>
        <mc:Choice Requires="wps">
          <w:drawing>
            <wp:anchor distT="0" distB="0" distL="114300" distR="114300" simplePos="0" relativeHeight="251658252" behindDoc="0" locked="1" layoutInCell="1" allowOverlap="1" wp14:anchorId="7FA6CA38" wp14:editId="3CA8C952">
              <wp:simplePos x="0" y="0"/>
              <wp:positionH relativeFrom="page">
                <wp:align>left</wp:align>
              </wp:positionH>
              <wp:positionV relativeFrom="page">
                <wp:posOffset>-635</wp:posOffset>
              </wp:positionV>
              <wp:extent cx="7620635" cy="212090"/>
              <wp:effectExtent l="0" t="0" r="0" b="0"/>
              <wp:wrapNone/>
              <wp:docPr id="12"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BE5A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3846BA3">
            <v:rect id="Rectangle 12" style="position:absolute;margin-left:0;margin-top:-.05pt;width:600.05pt;height:16.7pt;z-index:251658252;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spid="_x0000_s1026" fillcolor="#fbe5a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" w14:anchorId="7EC2EA2B">
              <o:lock v:ext="edit" aspectratio="t"/>
              <w10:wrap anchorx="page" anchory="page"/>
              <w10:anchorlock/>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6467F" w14:textId="2A0A0B45" w:rsidR="0057062A" w:rsidRDefault="0057062A">
    <w:r>
      <w:rPr>
        <w:noProof/>
        <w:lang w:val="en-GB" w:eastAsia="en-GB"/>
      </w:rPr>
      <w:drawing>
        <wp:anchor distT="0" distB="0" distL="114300" distR="114300" simplePos="0" relativeHeight="251658244" behindDoc="1" locked="0" layoutInCell="1" allowOverlap="1" wp14:anchorId="324015BF" wp14:editId="3E907722">
          <wp:simplePos x="0" y="0"/>
          <wp:positionH relativeFrom="page">
            <wp:posOffset>8092</wp:posOffset>
          </wp:positionH>
          <wp:positionV relativeFrom="page">
            <wp:posOffset>8092</wp:posOffset>
          </wp:positionV>
          <wp:extent cx="7558812" cy="10692063"/>
          <wp:effectExtent l="0" t="0" r="4445" b="0"/>
          <wp:wrapNone/>
          <wp:docPr id="405486022" name="Picture 405486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223138" name="Picture 1797223138"/>
                  <pic:cNvPicPr/>
                </pic:nvPicPr>
                <pic:blipFill>
                  <a:blip r:embed="rId1">
                    <a:extLst>
                      <a:ext uri="{28A0092B-C50C-407E-A947-70E740481C1C}">
                        <a14:useLocalDpi xmlns:a14="http://schemas.microsoft.com/office/drawing/2010/main" val="0"/>
                      </a:ext>
                    </a:extLst>
                  </a:blip>
                  <a:stretch>
                    <a:fillRect/>
                  </a:stretch>
                </pic:blipFill>
                <pic:spPr>
                  <a:xfrm>
                    <a:off x="0" y="0"/>
                    <a:ext cx="7558812" cy="10692063"/>
                  </a:xfrm>
                  <a:prstGeom prst="rect">
                    <a:avLst/>
                  </a:prstGeom>
                </pic:spPr>
              </pic:pic>
            </a:graphicData>
          </a:graphic>
          <wp14:sizeRelH relativeFrom="margin">
            <wp14:pctWidth>0</wp14:pctWidth>
          </wp14:sizeRelH>
          <wp14:sizeRelV relativeFrom="margin">
            <wp14:pctHeight>0</wp14:pctHeight>
          </wp14:sizeRelV>
        </wp:anchor>
      </w:drawing>
    </w:r>
    <w:r>
      <w:cr/>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0EE31" w14:textId="77777777" w:rsidR="0057062A" w:rsidRDefault="0057062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AB071" w14:textId="77777777" w:rsidR="0057062A" w:rsidRDefault="0057062A">
    <w:pPr>
      <w:pStyle w:val="Header"/>
    </w:pPr>
    <w:r w:rsidRPr="00D61A2C">
      <w:rPr>
        <w:noProof/>
        <w:lang w:eastAsia="en-GB"/>
      </w:rPr>
      <mc:AlternateContent>
        <mc:Choice Requires="wps">
          <w:drawing>
            <wp:anchor distT="0" distB="0" distL="114300" distR="114300" simplePos="0" relativeHeight="251658253" behindDoc="0" locked="1" layoutInCell="1" allowOverlap="1" wp14:anchorId="6D5A4026" wp14:editId="3A5BF1A2">
              <wp:simplePos x="0" y="0"/>
              <wp:positionH relativeFrom="page">
                <wp:align>left</wp:align>
              </wp:positionH>
              <wp:positionV relativeFrom="page">
                <wp:posOffset>-635</wp:posOffset>
              </wp:positionV>
              <wp:extent cx="7620635" cy="212090"/>
              <wp:effectExtent l="0" t="0" r="0" b="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BE5A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E77D65F">
            <v:rect id="Rectangle 13" style="position:absolute;margin-left:0;margin-top:-.05pt;width:600.05pt;height:16.7pt;z-index:251658253;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spid="_x0000_s1026" fillcolor="#fbe5a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" w14:anchorId="18DAFF35">
              <o:lock v:ext="edit" aspectratio="t"/>
              <w10:wrap anchorx="page" anchory="page"/>
              <w10:anchorlock/>
            </v:rect>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1B451" w14:textId="124379F1" w:rsidR="0057062A" w:rsidRDefault="0057062A">
    <w:r>
      <w:rPr>
        <w:noProof/>
        <w:lang w:val="en-GB" w:eastAsia="en-GB"/>
      </w:rPr>
      <w:drawing>
        <wp:anchor distT="0" distB="0" distL="114300" distR="114300" simplePos="0" relativeHeight="251658242" behindDoc="1" locked="0" layoutInCell="1" allowOverlap="1" wp14:anchorId="7451A931" wp14:editId="7BD4B8BB">
          <wp:simplePos x="0" y="0"/>
          <wp:positionH relativeFrom="page">
            <wp:posOffset>9525</wp:posOffset>
          </wp:positionH>
          <wp:positionV relativeFrom="page">
            <wp:posOffset>10810875</wp:posOffset>
          </wp:positionV>
          <wp:extent cx="7558405" cy="10691495"/>
          <wp:effectExtent l="0" t="0" r="4445" b="0"/>
          <wp:wrapNone/>
          <wp:docPr id="231685354" name="Picture 231685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rsidRPr="00D61A2C">
      <w:rPr>
        <w:noProof/>
        <w:lang w:val="en-GB" w:eastAsia="en-GB"/>
      </w:rPr>
      <mc:AlternateContent>
        <mc:Choice Requires="wps">
          <w:drawing>
            <wp:anchor distT="0" distB="0" distL="114300" distR="114300" simplePos="0" relativeHeight="251658240" behindDoc="0" locked="1" layoutInCell="1" allowOverlap="1" wp14:anchorId="2ABFC88F" wp14:editId="7E02A2C3">
              <wp:simplePos x="0" y="0"/>
              <wp:positionH relativeFrom="page">
                <wp:posOffset>-52070</wp:posOffset>
              </wp:positionH>
              <wp:positionV relativeFrom="page">
                <wp:posOffset>5715</wp:posOffset>
              </wp:positionV>
              <wp:extent cx="7620635" cy="212090"/>
              <wp:effectExtent l="0" t="0" r="0" b="0"/>
              <wp:wrapNone/>
              <wp:docPr id="23" name="Rectangle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DC165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9670C3B">
            <v:rect id="Rectangle 23" style="position:absolute;margin-left:-4.1pt;margin-top:.45pt;width:600.05pt;height:1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dc165d"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" w14:anchorId="5286DF63">
              <o:lock v:ext="edit" aspectratio="t"/>
              <w10:wrap anchorx="page" anchory="page"/>
              <w10:anchorlock/>
            </v:rect>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88906" w14:textId="77777777" w:rsidR="0057062A" w:rsidRDefault="0057062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FFE26" w14:textId="77777777" w:rsidR="0057062A" w:rsidRDefault="0057062A">
    <w:pPr>
      <w:pStyle w:val="Header"/>
    </w:pPr>
    <w:r w:rsidRPr="00D61A2C">
      <w:rPr>
        <w:noProof/>
        <w:lang w:eastAsia="en-GB"/>
      </w:rPr>
      <mc:AlternateContent>
        <mc:Choice Requires="wps">
          <w:drawing>
            <wp:anchor distT="0" distB="0" distL="114300" distR="114300" simplePos="0" relativeHeight="251658254" behindDoc="0" locked="1" layoutInCell="1" allowOverlap="1" wp14:anchorId="69628CB6" wp14:editId="04BD19C8">
              <wp:simplePos x="0" y="0"/>
              <wp:positionH relativeFrom="page">
                <wp:align>left</wp:align>
              </wp:positionH>
              <wp:positionV relativeFrom="page">
                <wp:posOffset>-635</wp:posOffset>
              </wp:positionV>
              <wp:extent cx="7620635" cy="212090"/>
              <wp:effectExtent l="0" t="0" r="0" b="0"/>
              <wp:wrapNone/>
              <wp:docPr id="14" name="Rectangle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BE5A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1B335DB">
            <v:rect id="Rectangle 14" style="position:absolute;margin-left:0;margin-top:-.05pt;width:600.05pt;height:16.7pt;z-index:251658254;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spid="_x0000_s1026" fillcolor="#fbe5a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" w14:anchorId="0B488F1A">
              <o:lock v:ext="edit" aspectratio="t"/>
              <w10:wrap anchorx="page" anchory="page"/>
              <w10:anchorlock/>
            </v:rect>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A3A5E" w14:textId="77777777" w:rsidR="0057062A" w:rsidRDefault="0057062A">
    <w:r>
      <w:rPr>
        <w:noProof/>
        <w:lang w:val="en-GB" w:eastAsia="en-GB"/>
      </w:rPr>
      <w:drawing>
        <wp:anchor distT="0" distB="0" distL="114300" distR="114300" simplePos="0" relativeHeight="251658255" behindDoc="1" locked="0" layoutInCell="1" allowOverlap="1" wp14:anchorId="6592C434" wp14:editId="26703151">
          <wp:simplePos x="0" y="0"/>
          <wp:positionH relativeFrom="page">
            <wp:posOffset>8092</wp:posOffset>
          </wp:positionH>
          <wp:positionV relativeFrom="page">
            <wp:posOffset>8092</wp:posOffset>
          </wp:positionV>
          <wp:extent cx="7558812" cy="10692063"/>
          <wp:effectExtent l="0" t="0" r="4445" b="0"/>
          <wp:wrapNone/>
          <wp:docPr id="1412971639" name="Picture 1412971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971639" name="Picture 1412971639"/>
                  <pic:cNvPicPr/>
                </pic:nvPicPr>
                <pic:blipFill>
                  <a:blip r:embed="rId1">
                    <a:extLst>
                      <a:ext uri="{28A0092B-C50C-407E-A947-70E740481C1C}">
                        <a14:useLocalDpi xmlns:a14="http://schemas.microsoft.com/office/drawing/2010/main" val="0"/>
                      </a:ext>
                    </a:extLst>
                  </a:blip>
                  <a:stretch>
                    <a:fillRect/>
                  </a:stretch>
                </pic:blipFill>
                <pic:spPr>
                  <a:xfrm>
                    <a:off x="0" y="0"/>
                    <a:ext cx="7558812" cy="10692063"/>
                  </a:xfrm>
                  <a:prstGeom prst="rect">
                    <a:avLst/>
                  </a:prstGeom>
                </pic:spPr>
              </pic:pic>
            </a:graphicData>
          </a:graphic>
          <wp14:sizeRelH relativeFrom="margin">
            <wp14:pctWidth>0</wp14:pctWidth>
          </wp14:sizeRelH>
          <wp14:sizeRelV relativeFrom="margin">
            <wp14:pctHeight>0</wp14:pctHeight>
          </wp14:sizeRelV>
        </wp:anchor>
      </w:drawing>
    </w:r>
    <w:r>
      <w:rPr>
        <w:noProof/>
        <w:lang w:val="en-GB" w:eastAsia="en-GB"/>
      </w:rPr>
      <mc:AlternateContent>
        <mc:Choice Requires="wps">
          <w:drawing>
            <wp:anchor distT="0" distB="0" distL="114300" distR="114300" simplePos="0" relativeHeight="251658249" behindDoc="1" locked="0" layoutInCell="0" allowOverlap="1" wp14:anchorId="5A494016" wp14:editId="472C6994">
              <wp:simplePos x="0" y="0"/>
              <wp:positionH relativeFrom="margin">
                <wp:align>center</wp:align>
              </wp:positionH>
              <wp:positionV relativeFrom="margin">
                <wp:align>center</wp:align>
              </wp:positionV>
              <wp:extent cx="6092190" cy="2030730"/>
              <wp:effectExtent l="0" t="1724025" r="0" b="13411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92190" cy="20307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BFC385" w14:textId="77777777" w:rsidR="0057062A" w:rsidRDefault="0057062A" w:rsidP="00A4393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A494016" id="_x0000_t202" coordsize="21600,21600" o:spt="202" path="m,l,21600r21600,l21600,xe">
              <v:stroke joinstyle="miter"/>
              <v:path gradientshapeok="t" o:connecttype="rect"/>
            </v:shapetype>
            <v:shape id="Text Box 2" o:spid="_x0000_s1027" type="#_x0000_t202" style="position:absolute;margin-left:0;margin-top:0;width:479.7pt;height:159.9pt;rotation:-45;z-index:-251658231;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" o:allowincell="f" filled="f" stroked="f">
              <v:stroke joinstyle="round"/>
              <o:lock v:ext="edit" shapetype="t"/>
              <v:textbox style="mso-fit-shape-to-text:t">
                <w:txbxContent>
                  <w:p w14:paraId="5EBFC385" w14:textId="77777777" w:rsidR="0057062A" w:rsidRDefault="0057062A" w:rsidP="00A4393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cr/>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B74E4" w14:textId="77777777" w:rsidR="0057062A" w:rsidRDefault="0057062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A70A6" w14:textId="77777777" w:rsidR="0057062A" w:rsidRDefault="0057062A">
    <w:pPr>
      <w:pStyle w:val="Header"/>
    </w:pPr>
    <w:r w:rsidRPr="00D61A2C">
      <w:rPr>
        <w:noProof/>
        <w:lang w:eastAsia="en-GB"/>
      </w:rPr>
      <mc:AlternateContent>
        <mc:Choice Requires="wps">
          <w:drawing>
            <wp:anchor distT="0" distB="0" distL="114300" distR="114300" simplePos="0" relativeHeight="251658243" behindDoc="0" locked="1" layoutInCell="1" allowOverlap="1" wp14:anchorId="6A055063" wp14:editId="68E9D947">
              <wp:simplePos x="0" y="0"/>
              <wp:positionH relativeFrom="page">
                <wp:align>left</wp:align>
              </wp:positionH>
              <wp:positionV relativeFrom="page">
                <wp:posOffset>-635</wp:posOffset>
              </wp:positionV>
              <wp:extent cx="7620635" cy="212090"/>
              <wp:effectExtent l="0" t="0" r="0" b="0"/>
              <wp:wrapNone/>
              <wp:docPr id="15" name="Rect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620635" cy="212090"/>
                      </a:xfrm>
                      <a:prstGeom prst="rect">
                        <a:avLst/>
                      </a:prstGeom>
                      <a:solidFill>
                        <a:srgbClr val="FBE5A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F30A493">
            <v:rect id="Rectangle 15" style="position:absolute;margin-left:0;margin-top:-.05pt;width:600.05pt;height:16.7pt;z-index:251658243;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spid="_x0000_s1026" fillcolor="#fbe5a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" w14:anchorId="0D34C35C">
              <o:lock v:ext="edit" aspectratio="t"/>
              <w10:wrap anchorx="page" anchory="page"/>
              <w10:anchorlock/>
            </v:rect>
          </w:pict>
        </mc:Fallback>
      </mc:AlternateContent>
    </w:r>
  </w:p>
  <w:p w14:paraId="3ECDBAA9" w14:textId="77777777" w:rsidR="00E96C6E" w:rsidRDefault="00E96C6E"/>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6350C" w14:textId="77777777" w:rsidR="0057062A" w:rsidRDefault="0057062A">
    <w:r>
      <w:cr/>
    </w:r>
    <w:r w:rsidRPr="00D61A2C">
      <w:rPr>
        <w:noProof/>
        <w:lang w:val="en-GB" w:eastAsia="en-GB"/>
      </w:rPr>
      <mc:AlternateContent>
        <mc:Choice Requires="wps">
          <w:drawing>
            <wp:anchor distT="0" distB="0" distL="114300" distR="114300" simplePos="0" relativeHeight="251658241" behindDoc="0" locked="1" layoutInCell="1" allowOverlap="1" wp14:anchorId="6E416789" wp14:editId="3F0FD34A">
              <wp:simplePos x="0" y="0"/>
              <wp:positionH relativeFrom="page">
                <wp:posOffset>-23495</wp:posOffset>
              </wp:positionH>
              <wp:positionV relativeFrom="page">
                <wp:posOffset>7620</wp:posOffset>
              </wp:positionV>
              <wp:extent cx="10725785" cy="297815"/>
              <wp:effectExtent l="0" t="0" r="0" b="6985"/>
              <wp:wrapNone/>
              <wp:docPr id="24" name="Rectangle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725785" cy="297815"/>
                      </a:xfrm>
                      <a:prstGeom prst="rect">
                        <a:avLst/>
                      </a:prstGeom>
                      <a:solidFill>
                        <a:srgbClr val="DC165D"/>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7FF2AF6">
            <v:rect id="Rectangle 24" style="position:absolute;margin-left:-1.85pt;margin-top:.6pt;width:844.55pt;height:23.4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dc165d"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" w14:anchorId="3A5043AA">
              <o:lock v:ext="edit" aspectratio="t"/>
              <w10:wrap anchorx="page" anchory="page"/>
              <w10:anchorlock/>
            </v:rect>
          </w:pict>
        </mc:Fallback>
      </mc:AlternateContent>
    </w:r>
  </w:p>
  <w:p w14:paraId="284D3C4B" w14:textId="77777777" w:rsidR="00E96C6E" w:rsidRDefault="00E96C6E"/>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3E970" w14:textId="77777777" w:rsidR="0057062A" w:rsidRDefault="005706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2A0CD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6694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829A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1F8B9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AC9F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D437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1035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08E9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FEEA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D0EEB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8D272F"/>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07FD1C5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1153D01"/>
    <w:multiLevelType w:val="multilevel"/>
    <w:tmpl w:val="1D4C4A96"/>
    <w:name w:val="HeadingNumbering"/>
    <w:lvl w:ilvl="0">
      <w:start w:val="1"/>
      <w:numFmt w:val="decimal"/>
      <w:pStyle w:val="HeadingNumbered1"/>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ascii="Calibri" w:hAnsi="Calibri" w:hint="default"/>
      </w:rPr>
    </w:lvl>
    <w:lvl w:ilvl="3">
      <w:start w:val="1"/>
      <w:numFmt w:val="decimal"/>
      <w:lvlText w:val="%4)"/>
      <w:lvlJc w:val="left"/>
      <w:pPr>
        <w:ind w:left="850" w:hanging="340"/>
      </w:pPr>
      <w:rPr>
        <w:rFonts w:ascii="Calibri" w:hAnsi="Calibri" w:hint="default"/>
      </w:rPr>
    </w:lvl>
    <w:lvl w:ilvl="4">
      <w:start w:val="1"/>
      <w:numFmt w:val="lowerLetter"/>
      <w:pStyle w:val="HeadingNumbered5"/>
      <w:lvlText w:val="%5)"/>
      <w:lvlJc w:val="left"/>
      <w:pPr>
        <w:ind w:left="1191" w:hanging="341"/>
      </w:pPr>
      <w:rPr>
        <w:rFonts w:ascii="Calibri" w:hAnsi="Calibri" w:hint="default"/>
      </w:rPr>
    </w:lvl>
    <w:lvl w:ilvl="5">
      <w:start w:val="1"/>
      <w:numFmt w:val="lowerRoman"/>
      <w:pStyle w:val="HeadingNumbered6"/>
      <w:lvlText w:val="(%6)"/>
      <w:lvlJc w:val="left"/>
      <w:pPr>
        <w:ind w:left="1531" w:hanging="340"/>
      </w:pPr>
      <w:rPr>
        <w:rFonts w:ascii="Calibri" w:hAnsi="Calibri" w:hint="default"/>
      </w:rPr>
    </w:lvl>
    <w:lvl w:ilvl="6">
      <w:numFmt w:val="none"/>
      <w:pStyle w:val="HeadingNumbered7"/>
      <w:lvlText w:val=""/>
      <w:lvlJc w:val="left"/>
    </w:lvl>
    <w:lvl w:ilvl="7">
      <w:numFmt w:val="none"/>
      <w:pStyle w:val="HeadingNumbered8"/>
      <w:lvlText w:val=""/>
      <w:lvlJc w:val="left"/>
    </w:lvl>
    <w:lvl w:ilvl="8">
      <w:numFmt w:val="none"/>
      <w:pStyle w:val="HeadingNumbered9"/>
      <w:lvlText w:val=""/>
      <w:lvlJc w:val="left"/>
    </w:lvl>
  </w:abstractNum>
  <w:abstractNum w:abstractNumId="13" w15:restartNumberingAfterBreak="0">
    <w:nsid w:val="11153D02"/>
    <w:multiLevelType w:val="multilevel"/>
    <w:tmpl w:val="1E0CFBE8"/>
    <w:name w:val="ListNumberNonindentedNumbering"/>
    <w:lvl w:ilvl="0">
      <w:start w:val="1"/>
      <w:numFmt w:val="decimal"/>
      <w:pStyle w:val="ListNumberNonindented"/>
      <w:lvlText w:val="%1."/>
      <w:lvlJc w:val="left"/>
      <w:pPr>
        <w:ind w:left="397" w:hanging="397"/>
      </w:pPr>
      <w:rPr>
        <w:rFonts w:hint="default"/>
      </w:rPr>
    </w:lvl>
    <w:lvl w:ilvl="1">
      <w:start w:val="1"/>
      <w:numFmt w:val="decimal"/>
      <w:pStyle w:val="ListNumberNonindentedLevel2"/>
      <w:lvlText w:val="%1.%2."/>
      <w:lvlJc w:val="left"/>
      <w:pPr>
        <w:ind w:left="624" w:hanging="624"/>
      </w:pPr>
      <w:rPr>
        <w:rFonts w:hint="default"/>
      </w:rPr>
    </w:lvl>
    <w:lvl w:ilvl="2">
      <w:start w:val="1"/>
      <w:numFmt w:val="decimal"/>
      <w:pStyle w:val="ListNumberNonindentedLevel3"/>
      <w:lvlText w:val="%1.%2.%3."/>
      <w:lvlJc w:val="left"/>
      <w:pPr>
        <w:ind w:left="850" w:hanging="850"/>
      </w:pPr>
      <w:rPr>
        <w:rFonts w:hint="default"/>
      </w:rPr>
    </w:lvl>
    <w:lvl w:ilvl="3">
      <w:start w:val="1"/>
      <w:numFmt w:val="decimal"/>
      <w:pStyle w:val="ListNumberNonindentedLevel4"/>
      <w:lvlText w:val="%1.%2.%3.%4."/>
      <w:lvlJc w:val="left"/>
      <w:pPr>
        <w:ind w:left="1077" w:hanging="1077"/>
      </w:pPr>
      <w:rPr>
        <w:rFonts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11183D01"/>
    <w:multiLevelType w:val="multilevel"/>
    <w:tmpl w:val="977052E4"/>
    <w:name w:val="LabelledNumberHeadingNumbering"/>
    <w:lvl w:ilvl="0">
      <w:start w:val="1"/>
      <w:numFmt w:val="decimal"/>
      <w:pStyle w:val="Heading2LabelledNumber"/>
      <w:lvlText w:val="%1)"/>
      <w:lvlJc w:val="left"/>
      <w:pPr>
        <w:ind w:left="357" w:hanging="357"/>
      </w:pPr>
      <w:rPr>
        <w:rFonts w:hint="default"/>
      </w:rPr>
    </w:lvl>
    <w:lvl w:ilvl="1">
      <w:start w:val="1"/>
      <w:numFmt w:val="decimal"/>
      <w:lvlText w:val="%1)"/>
      <w:lvlJc w:val="left"/>
      <w:pPr>
        <w:ind w:left="357" w:hanging="357"/>
      </w:pPr>
      <w:rPr>
        <w:rFonts w:hint="default"/>
      </w:rPr>
    </w:lvl>
    <w:lvl w:ilvl="2">
      <w:start w:val="1"/>
      <w:numFmt w:val="decimal"/>
      <w:lvlText w:val="%1)"/>
      <w:lvlJc w:val="left"/>
      <w:pPr>
        <w:ind w:left="357" w:hanging="357"/>
      </w:pPr>
      <w:rPr>
        <w:rFonts w:hint="default"/>
      </w:rPr>
    </w:lvl>
    <w:lvl w:ilvl="3">
      <w:start w:val="1"/>
      <w:numFmt w:val="decimal"/>
      <w:lvlText w:val="%1)"/>
      <w:lvlJc w:val="left"/>
      <w:pPr>
        <w:ind w:left="357" w:hanging="357"/>
      </w:pPr>
      <w:rPr>
        <w:rFonts w:hint="default"/>
      </w:rPr>
    </w:lvl>
    <w:lvl w:ilvl="4">
      <w:start w:val="1"/>
      <w:numFmt w:val="decimal"/>
      <w:lvlText w:val="%1)"/>
      <w:lvlJc w:val="left"/>
      <w:pPr>
        <w:ind w:left="357" w:hanging="357"/>
      </w:pPr>
      <w:rPr>
        <w:rFonts w:hint="default"/>
      </w:rPr>
    </w:lvl>
    <w:lvl w:ilvl="5">
      <w:start w:val="1"/>
      <w:numFmt w:val="decimal"/>
      <w:lvlText w:val="%1)"/>
      <w:lvlJc w:val="left"/>
      <w:pPr>
        <w:ind w:left="357" w:hanging="357"/>
      </w:pPr>
      <w:rPr>
        <w:rFonts w:hint="default"/>
      </w:rPr>
    </w:lvl>
    <w:lvl w:ilvl="6">
      <w:start w:val="1"/>
      <w:numFmt w:val="decimal"/>
      <w:lvlText w:val="%1)"/>
      <w:lvlJc w:val="left"/>
      <w:pPr>
        <w:ind w:left="357" w:hanging="357"/>
      </w:pPr>
      <w:rPr>
        <w:rFonts w:hint="default"/>
      </w:rPr>
    </w:lvl>
    <w:lvl w:ilvl="7">
      <w:start w:val="1"/>
      <w:numFmt w:val="decimal"/>
      <w:lvlText w:val="%1)"/>
      <w:lvlJc w:val="left"/>
      <w:pPr>
        <w:ind w:left="357" w:hanging="357"/>
      </w:pPr>
      <w:rPr>
        <w:rFonts w:hint="default"/>
      </w:rPr>
    </w:lvl>
    <w:lvl w:ilvl="8">
      <w:start w:val="1"/>
      <w:numFmt w:val="decimal"/>
      <w:lvlText w:val="%1)"/>
      <w:lvlJc w:val="left"/>
      <w:pPr>
        <w:ind w:left="357" w:hanging="357"/>
      </w:pPr>
      <w:rPr>
        <w:rFonts w:hint="default"/>
      </w:rPr>
    </w:lvl>
  </w:abstractNum>
  <w:abstractNum w:abstractNumId="15" w15:restartNumberingAfterBreak="0">
    <w:nsid w:val="11183D02"/>
    <w:multiLevelType w:val="multilevel"/>
    <w:tmpl w:val="BC3AB3F4"/>
    <w:name w:val="LabelledLetterHeadingNumbering"/>
    <w:lvl w:ilvl="0">
      <w:start w:val="1"/>
      <w:numFmt w:val="upperLetter"/>
      <w:pStyle w:val="Heading2LabelledLetter"/>
      <w:lvlText w:val="%1."/>
      <w:lvlJc w:val="left"/>
      <w:pPr>
        <w:ind w:left="357" w:hanging="357"/>
      </w:pPr>
      <w:rPr>
        <w:rFonts w:hint="default"/>
      </w:rPr>
    </w:lvl>
    <w:lvl w:ilvl="1">
      <w:start w:val="1"/>
      <w:numFmt w:val="upperLetter"/>
      <w:lvlText w:val="%1."/>
      <w:lvlJc w:val="left"/>
      <w:pPr>
        <w:ind w:left="357" w:hanging="357"/>
      </w:pPr>
      <w:rPr>
        <w:rFonts w:hint="default"/>
      </w:rPr>
    </w:lvl>
    <w:lvl w:ilvl="2">
      <w:start w:val="1"/>
      <w:numFmt w:val="upperLetter"/>
      <w:lvlText w:val="%1."/>
      <w:lvlJc w:val="left"/>
      <w:pPr>
        <w:ind w:left="357" w:hanging="357"/>
      </w:pPr>
      <w:rPr>
        <w:rFonts w:hint="default"/>
      </w:rPr>
    </w:lvl>
    <w:lvl w:ilvl="3">
      <w:start w:val="1"/>
      <w:numFmt w:val="upperLetter"/>
      <w:lvlText w:val="%1."/>
      <w:lvlJc w:val="left"/>
      <w:pPr>
        <w:ind w:left="357" w:hanging="357"/>
      </w:pPr>
      <w:rPr>
        <w:rFonts w:hint="default"/>
      </w:rPr>
    </w:lvl>
    <w:lvl w:ilvl="4">
      <w:start w:val="1"/>
      <w:numFmt w:val="upperLetter"/>
      <w:lvlText w:val="%1."/>
      <w:lvlJc w:val="left"/>
      <w:pPr>
        <w:ind w:left="357" w:hanging="357"/>
      </w:pPr>
      <w:rPr>
        <w:rFonts w:hint="default"/>
      </w:rPr>
    </w:lvl>
    <w:lvl w:ilvl="5">
      <w:start w:val="1"/>
      <w:numFmt w:val="upperLetter"/>
      <w:lvlText w:val="%1."/>
      <w:lvlJc w:val="left"/>
      <w:pPr>
        <w:ind w:left="357" w:hanging="357"/>
      </w:pPr>
      <w:rPr>
        <w:rFonts w:hint="default"/>
      </w:rPr>
    </w:lvl>
    <w:lvl w:ilvl="6">
      <w:start w:val="1"/>
      <w:numFmt w:val="upperLetter"/>
      <w:lvlText w:val="%1."/>
      <w:lvlJc w:val="left"/>
      <w:pPr>
        <w:ind w:left="357" w:hanging="357"/>
      </w:pPr>
      <w:rPr>
        <w:rFonts w:hint="default"/>
      </w:rPr>
    </w:lvl>
    <w:lvl w:ilvl="7">
      <w:start w:val="1"/>
      <w:numFmt w:val="upperLetter"/>
      <w:lvlText w:val="%1."/>
      <w:lvlJc w:val="left"/>
      <w:pPr>
        <w:ind w:left="357" w:hanging="357"/>
      </w:pPr>
      <w:rPr>
        <w:rFonts w:hint="default"/>
      </w:rPr>
    </w:lvl>
    <w:lvl w:ilvl="8">
      <w:start w:val="1"/>
      <w:numFmt w:val="upperLetter"/>
      <w:lvlText w:val="%1."/>
      <w:lvlJc w:val="left"/>
      <w:pPr>
        <w:ind w:left="357" w:hanging="357"/>
      </w:pPr>
      <w:rPr>
        <w:rFonts w:hint="default"/>
      </w:rPr>
    </w:lvl>
  </w:abstractNum>
  <w:abstractNum w:abstractNumId="16" w15:restartNumberingAfterBreak="0">
    <w:nsid w:val="120B7201"/>
    <w:multiLevelType w:val="multilevel"/>
    <w:tmpl w:val="53845B4C"/>
    <w:lvl w:ilvl="0">
      <w:start w:val="1"/>
      <w:numFmt w:val="decimal"/>
      <w:lvlText w:val="(%1)"/>
      <w:lvlJc w:val="left"/>
      <w:pPr>
        <w:tabs>
          <w:tab w:val="num" w:pos="709"/>
        </w:tabs>
        <w:ind w:left="709" w:hanging="709"/>
      </w:pPr>
      <w:rPr>
        <w:rFonts w:hint="default"/>
      </w:rPr>
    </w:lvl>
    <w:lvl w:ilvl="1">
      <w:start w:val="1"/>
      <w:numFmt w:val="lowerLetter"/>
      <w:pStyle w:val="letterlist"/>
      <w:lvlText w:val="(%2)"/>
      <w:lvlJc w:val="left"/>
      <w:pPr>
        <w:tabs>
          <w:tab w:val="num" w:pos="992"/>
        </w:tabs>
        <w:ind w:left="992" w:hanging="708"/>
      </w:pPr>
      <w:rPr>
        <w:rFonts w:hint="default"/>
        <w:b/>
        <w:color w:val="008139" w:themeColor="accent1"/>
      </w:rPr>
    </w:lvl>
    <w:lvl w:ilvl="2">
      <w:start w:val="1"/>
      <w:numFmt w:val="bullet"/>
      <w:lvlText w:val="–"/>
      <w:lvlJc w:val="left"/>
      <w:pPr>
        <w:tabs>
          <w:tab w:val="num" w:pos="2126"/>
        </w:tabs>
        <w:ind w:left="2126" w:hanging="709"/>
      </w:pPr>
      <w:rPr>
        <w:rFonts w:ascii="Times New Roman" w:hAnsi="Times New Roman" w:hint="default"/>
      </w:rPr>
    </w:lvl>
    <w:lvl w:ilvl="3">
      <w:start w:val="1"/>
      <w:numFmt w:val="bullet"/>
      <w:lvlText w:val=""/>
      <w:lvlJc w:val="left"/>
      <w:pPr>
        <w:tabs>
          <w:tab w:val="num" w:pos="2835"/>
        </w:tabs>
        <w:ind w:left="2835" w:hanging="709"/>
      </w:pPr>
      <w:rPr>
        <w:rFonts w:ascii="Symbol" w:hAnsi="Symbol" w:hint="default"/>
      </w:rPr>
    </w:lvl>
    <w:lvl w:ilvl="4">
      <w:numFmt w:val="none"/>
      <w:lvlText w:val=""/>
      <w:lvlJc w:val="left"/>
      <w:pPr>
        <w:ind w:left="0" w:firstLine="0"/>
      </w:pPr>
      <w:rPr>
        <w:rFonts w:hint="default"/>
      </w:rPr>
    </w:lvl>
    <w:lvl w:ilvl="5">
      <w:numFmt w:val="none"/>
      <w:lvlText w:val=""/>
      <w:lvlJc w:val="left"/>
      <w:pPr>
        <w:ind w:left="0" w:firstLine="0"/>
      </w:pPr>
      <w:rPr>
        <w:rFonts w:hint="default"/>
      </w:rPr>
    </w:lvl>
    <w:lvl w:ilvl="6">
      <w:numFmt w:val="none"/>
      <w:lvlText w:val=""/>
      <w:lvlJc w:val="left"/>
      <w:pPr>
        <w:ind w:left="0" w:firstLine="0"/>
      </w:pPr>
      <w:rPr>
        <w:rFonts w:hint="default"/>
      </w:rPr>
    </w:lvl>
    <w:lvl w:ilvl="7">
      <w:numFmt w:val="none"/>
      <w:lvlText w:val=""/>
      <w:lvlJc w:val="left"/>
      <w:pPr>
        <w:ind w:left="0" w:firstLine="0"/>
      </w:pPr>
      <w:rPr>
        <w:rFonts w:hint="default"/>
      </w:rPr>
    </w:lvl>
    <w:lvl w:ilvl="8">
      <w:numFmt w:val="none"/>
      <w:lvlText w:val=""/>
      <w:lvlJc w:val="left"/>
      <w:pPr>
        <w:ind w:left="0" w:firstLine="0"/>
      </w:pPr>
      <w:rPr>
        <w:rFonts w:hint="default"/>
      </w:rPr>
    </w:lvl>
  </w:abstractNum>
  <w:abstractNum w:abstractNumId="17" w15:restartNumberingAfterBreak="0">
    <w:nsid w:val="12AF0196"/>
    <w:multiLevelType w:val="multilevel"/>
    <w:tmpl w:val="8E26EB28"/>
    <w:styleLink w:val="amprHLISTNumberedheadings"/>
    <w:lvl w:ilvl="0">
      <w:start w:val="1"/>
      <w:numFmt w:val="decimal"/>
      <w:lvlText w:val="%1."/>
      <w:lvlJc w:val="left"/>
      <w:pPr>
        <w:ind w:left="907" w:hanging="907"/>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1.%2.%3.%4."/>
      <w:lvlJc w:val="left"/>
      <w:pPr>
        <w:ind w:left="907" w:hanging="907"/>
      </w:pPr>
      <w:rPr>
        <w:rFonts w:hint="default"/>
      </w:rPr>
    </w:lvl>
    <w:lvl w:ilvl="4">
      <w:start w:val="1"/>
      <w:numFmt w:val="lowerLetter"/>
      <w:lvlText w:val="(%5)"/>
      <w:lvlJc w:val="left"/>
      <w:pPr>
        <w:ind w:left="578" w:hanging="578"/>
      </w:pPr>
      <w:rPr>
        <w:rFonts w:hint="default"/>
      </w:rPr>
    </w:lvl>
    <w:lvl w:ilvl="5">
      <w:start w:val="1"/>
      <w:numFmt w:val="lowerRoman"/>
      <w:lvlText w:val="(%6)"/>
      <w:lvlJc w:val="left"/>
      <w:pPr>
        <w:ind w:left="578" w:hanging="578"/>
      </w:pPr>
      <w:rPr>
        <w:rFonts w:hint="default"/>
      </w:rPr>
    </w:lvl>
    <w:lvl w:ilvl="6">
      <w:start w:val="1"/>
      <w:numFmt w:val="decimal"/>
      <w:lvlText w:val="%7."/>
      <w:lvlJc w:val="left"/>
      <w:pPr>
        <w:ind w:left="578" w:hanging="578"/>
      </w:pPr>
      <w:rPr>
        <w:rFonts w:hint="default"/>
      </w:rPr>
    </w:lvl>
    <w:lvl w:ilvl="7">
      <w:start w:val="1"/>
      <w:numFmt w:val="lowerLetter"/>
      <w:lvlText w:val="%8."/>
      <w:lvlJc w:val="left"/>
      <w:pPr>
        <w:ind w:left="578" w:hanging="578"/>
      </w:pPr>
      <w:rPr>
        <w:rFonts w:hint="default"/>
      </w:rPr>
    </w:lvl>
    <w:lvl w:ilvl="8">
      <w:start w:val="1"/>
      <w:numFmt w:val="lowerRoman"/>
      <w:lvlText w:val="%9."/>
      <w:lvlJc w:val="left"/>
      <w:pPr>
        <w:ind w:left="578" w:hanging="578"/>
      </w:pPr>
      <w:rPr>
        <w:rFonts w:hint="default"/>
      </w:rPr>
    </w:lvl>
  </w:abstractNum>
  <w:abstractNum w:abstractNumId="18" w15:restartNumberingAfterBreak="0">
    <w:nsid w:val="170F5D36"/>
    <w:multiLevelType w:val="multilevel"/>
    <w:tmpl w:val="460ED356"/>
    <w:numStyleLink w:val="amprLISTblackbullets"/>
  </w:abstractNum>
  <w:abstractNum w:abstractNumId="19" w15:restartNumberingAfterBreak="0">
    <w:nsid w:val="199177F3"/>
    <w:multiLevelType w:val="multilevel"/>
    <w:tmpl w:val="8E26EB28"/>
    <w:numStyleLink w:val="amprHLISTNumberedheadings"/>
  </w:abstractNum>
  <w:abstractNum w:abstractNumId="20" w15:restartNumberingAfterBreak="0">
    <w:nsid w:val="1B3C78B8"/>
    <w:multiLevelType w:val="multilevel"/>
    <w:tmpl w:val="2ED4F4D0"/>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15:restartNumberingAfterBreak="0">
    <w:nsid w:val="1BA53D75"/>
    <w:multiLevelType w:val="multilevel"/>
    <w:tmpl w:val="3392D894"/>
    <w:name w:val="ListAbcNumbering"/>
    <w:lvl w:ilvl="0">
      <w:start w:val="1"/>
      <w:numFmt w:val="lowerLetter"/>
      <w:pStyle w:val="Listabc"/>
      <w:lvlText w:val="%1)"/>
      <w:lvlJc w:val="left"/>
      <w:pPr>
        <w:tabs>
          <w:tab w:val="num" w:pos="397"/>
        </w:tabs>
        <w:ind w:left="794" w:hanging="397"/>
      </w:pPr>
      <w:rPr>
        <w:rFonts w:hint="default"/>
      </w:rPr>
    </w:lvl>
    <w:lvl w:ilvl="1">
      <w:start w:val="1"/>
      <w:numFmt w:val="bullet"/>
      <w:pStyle w:val="ListabcLevel2"/>
      <w:lvlText w:val="—"/>
      <w:lvlJc w:val="left"/>
      <w:pPr>
        <w:tabs>
          <w:tab w:val="num" w:pos="1191"/>
        </w:tabs>
        <w:ind w:left="1587" w:hanging="396"/>
      </w:pPr>
      <w:rPr>
        <w:rFonts w:hint="default"/>
        <w:color w:val="008139" w:themeColor="accent1"/>
      </w:rPr>
    </w:lvl>
    <w:lvl w:ilvl="2">
      <w:start w:val="1"/>
      <w:numFmt w:val="lowerRoman"/>
      <w:pStyle w:val="ListabcLevel3"/>
      <w:lvlText w:val="%3)"/>
      <w:lvlJc w:val="left"/>
      <w:pPr>
        <w:tabs>
          <w:tab w:val="num" w:pos="1984"/>
        </w:tabs>
        <w:ind w:left="2381" w:hanging="397"/>
      </w:pPr>
      <w:rPr>
        <w:rFonts w:ascii="Calibri" w:hAnsi="Calibri"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1BE85081"/>
    <w:multiLevelType w:val="hybridMultilevel"/>
    <w:tmpl w:val="38964EDE"/>
    <w:lvl w:ilvl="0" w:tplc="286E6538">
      <w:start w:val="1"/>
      <w:numFmt w:val="bullet"/>
      <w:pStyle w:val="bulletbold"/>
      <w:lvlText w:val=""/>
      <w:lvlJc w:val="left"/>
      <w:pPr>
        <w:ind w:left="786" w:hanging="360"/>
      </w:pPr>
      <w:rPr>
        <w:rFonts w:ascii="Symbol" w:hAnsi="Symbol" w:hint="default"/>
        <w:color w:val="003399" w:themeColor="text2"/>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23" w15:restartNumberingAfterBreak="0">
    <w:nsid w:val="1C47181D"/>
    <w:multiLevelType w:val="multilevel"/>
    <w:tmpl w:val="460ED356"/>
    <w:styleLink w:val="amprLISTblackbullets"/>
    <w:lvl w:ilvl="0">
      <w:start w:val="1"/>
      <w:numFmt w:val="bullet"/>
      <w:pStyle w:val="ListBullet-Black"/>
      <w:lvlText w:val="•"/>
      <w:lvlJc w:val="left"/>
      <w:pPr>
        <w:ind w:left="794" w:hanging="397"/>
      </w:pPr>
      <w:rPr>
        <w:rFonts w:ascii="Calibri" w:hAnsi="Calibri" w:hint="default"/>
      </w:rPr>
    </w:lvl>
    <w:lvl w:ilvl="1">
      <w:start w:val="1"/>
      <w:numFmt w:val="bullet"/>
      <w:pStyle w:val="ListBullet-BlackLevel2"/>
      <w:lvlText w:val="—"/>
      <w:lvlJc w:val="left"/>
      <w:pPr>
        <w:ind w:left="1588" w:hanging="397"/>
      </w:pPr>
      <w:rPr>
        <w:rFonts w:ascii="Times New Roman" w:hAnsi="Times New Roman" w:cs="Times New Roman" w:hint="default"/>
      </w:rPr>
    </w:lvl>
    <w:lvl w:ilvl="2">
      <w:start w:val="1"/>
      <w:numFmt w:val="bullet"/>
      <w:lvlText w:val=""/>
      <w:lvlJc w:val="left"/>
      <w:pPr>
        <w:ind w:left="2155" w:hanging="355"/>
      </w:pPr>
      <w:rPr>
        <w:rFonts w:ascii="Wingdings" w:hAnsi="Wingdings" w:hint="default"/>
      </w:rPr>
    </w:lvl>
    <w:lvl w:ilvl="3">
      <w:start w:val="1"/>
      <w:numFmt w:val="bullet"/>
      <w:lvlText w:val=""/>
      <w:lvlJc w:val="left"/>
      <w:pPr>
        <w:ind w:left="2875" w:hanging="355"/>
      </w:pPr>
      <w:rPr>
        <w:rFonts w:ascii="Symbol" w:hAnsi="Symbol" w:hint="default"/>
      </w:rPr>
    </w:lvl>
    <w:lvl w:ilvl="4">
      <w:start w:val="1"/>
      <w:numFmt w:val="bullet"/>
      <w:lvlText w:val="o"/>
      <w:lvlJc w:val="left"/>
      <w:pPr>
        <w:ind w:left="3595" w:hanging="355"/>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1E961180"/>
    <w:multiLevelType w:val="hybridMultilevel"/>
    <w:tmpl w:val="5A5E4370"/>
    <w:lvl w:ilvl="0" w:tplc="8C04ED06">
      <w:start w:val="3"/>
      <w:numFmt w:val="bullet"/>
      <w:pStyle w:val="dashlist"/>
      <w:lvlText w:val="-"/>
      <w:lvlJc w:val="left"/>
      <w:pPr>
        <w:ind w:left="1069" w:hanging="360"/>
      </w:pPr>
      <w:rPr>
        <w:rFonts w:ascii="Times New Roman" w:eastAsiaTheme="minorHAnsi" w:hAnsi="Times New Roman" w:cs="Times New Roman" w:hint="default"/>
      </w:rPr>
    </w:lvl>
    <w:lvl w:ilvl="1" w:tplc="18090003" w:tentative="1">
      <w:start w:val="1"/>
      <w:numFmt w:val="bullet"/>
      <w:lvlText w:val="o"/>
      <w:lvlJc w:val="left"/>
      <w:pPr>
        <w:ind w:left="1789" w:hanging="360"/>
      </w:pPr>
      <w:rPr>
        <w:rFonts w:ascii="Courier New" w:hAnsi="Courier New" w:cs="Courier New" w:hint="default"/>
      </w:rPr>
    </w:lvl>
    <w:lvl w:ilvl="2" w:tplc="18090005" w:tentative="1">
      <w:start w:val="1"/>
      <w:numFmt w:val="bullet"/>
      <w:lvlText w:val=""/>
      <w:lvlJc w:val="left"/>
      <w:pPr>
        <w:ind w:left="2509" w:hanging="360"/>
      </w:pPr>
      <w:rPr>
        <w:rFonts w:ascii="Wingdings" w:hAnsi="Wingdings" w:hint="default"/>
      </w:rPr>
    </w:lvl>
    <w:lvl w:ilvl="3" w:tplc="18090001" w:tentative="1">
      <w:start w:val="1"/>
      <w:numFmt w:val="bullet"/>
      <w:lvlText w:val=""/>
      <w:lvlJc w:val="left"/>
      <w:pPr>
        <w:ind w:left="3229" w:hanging="360"/>
      </w:pPr>
      <w:rPr>
        <w:rFonts w:ascii="Symbol" w:hAnsi="Symbol" w:hint="default"/>
      </w:rPr>
    </w:lvl>
    <w:lvl w:ilvl="4" w:tplc="18090003" w:tentative="1">
      <w:start w:val="1"/>
      <w:numFmt w:val="bullet"/>
      <w:lvlText w:val="o"/>
      <w:lvlJc w:val="left"/>
      <w:pPr>
        <w:ind w:left="3949" w:hanging="360"/>
      </w:pPr>
      <w:rPr>
        <w:rFonts w:ascii="Courier New" w:hAnsi="Courier New" w:cs="Courier New" w:hint="default"/>
      </w:rPr>
    </w:lvl>
    <w:lvl w:ilvl="5" w:tplc="18090005" w:tentative="1">
      <w:start w:val="1"/>
      <w:numFmt w:val="bullet"/>
      <w:lvlText w:val=""/>
      <w:lvlJc w:val="left"/>
      <w:pPr>
        <w:ind w:left="4669" w:hanging="360"/>
      </w:pPr>
      <w:rPr>
        <w:rFonts w:ascii="Wingdings" w:hAnsi="Wingdings" w:hint="default"/>
      </w:rPr>
    </w:lvl>
    <w:lvl w:ilvl="6" w:tplc="18090001" w:tentative="1">
      <w:start w:val="1"/>
      <w:numFmt w:val="bullet"/>
      <w:lvlText w:val=""/>
      <w:lvlJc w:val="left"/>
      <w:pPr>
        <w:ind w:left="5389" w:hanging="360"/>
      </w:pPr>
      <w:rPr>
        <w:rFonts w:ascii="Symbol" w:hAnsi="Symbol" w:hint="default"/>
      </w:rPr>
    </w:lvl>
    <w:lvl w:ilvl="7" w:tplc="18090003" w:tentative="1">
      <w:start w:val="1"/>
      <w:numFmt w:val="bullet"/>
      <w:lvlText w:val="o"/>
      <w:lvlJc w:val="left"/>
      <w:pPr>
        <w:ind w:left="6109" w:hanging="360"/>
      </w:pPr>
      <w:rPr>
        <w:rFonts w:ascii="Courier New" w:hAnsi="Courier New" w:cs="Courier New" w:hint="default"/>
      </w:rPr>
    </w:lvl>
    <w:lvl w:ilvl="8" w:tplc="18090005" w:tentative="1">
      <w:start w:val="1"/>
      <w:numFmt w:val="bullet"/>
      <w:lvlText w:val=""/>
      <w:lvlJc w:val="left"/>
      <w:pPr>
        <w:ind w:left="6829" w:hanging="360"/>
      </w:pPr>
      <w:rPr>
        <w:rFonts w:ascii="Wingdings" w:hAnsi="Wingdings" w:hint="default"/>
      </w:rPr>
    </w:lvl>
  </w:abstractNum>
  <w:abstractNum w:abstractNumId="25"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25F7317D"/>
    <w:multiLevelType w:val="multilevel"/>
    <w:tmpl w:val="111E0B03"/>
    <w:name w:val="ListMixedNumbering22"/>
    <w:lvl w:ilvl="0">
      <w:start w:val="1"/>
      <w:numFmt w:val="decimal"/>
      <w:pStyle w:val="ListMixed"/>
      <w:lvlText w:val="%1."/>
      <w:lvlJc w:val="left"/>
      <w:pPr>
        <w:ind w:left="397" w:hanging="397"/>
      </w:pPr>
      <w:rPr>
        <w:rFonts w:hint="default"/>
      </w:rPr>
    </w:lvl>
    <w:lvl w:ilvl="1">
      <w:start w:val="1"/>
      <w:numFmt w:val="lowerLetter"/>
      <w:pStyle w:val="ListMixedLevel2"/>
      <w:lvlText w:val="%2."/>
      <w:lvlJc w:val="left"/>
      <w:pPr>
        <w:tabs>
          <w:tab w:val="num" w:pos="794"/>
        </w:tabs>
        <w:ind w:left="1190" w:hanging="396"/>
      </w:pPr>
      <w:rPr>
        <w:rFonts w:hint="default"/>
      </w:rPr>
    </w:lvl>
    <w:lvl w:ilvl="2">
      <w:start w:val="1"/>
      <w:numFmt w:val="lowerRoman"/>
      <w:pStyle w:val="ListMixedLevel3"/>
      <w:lvlText w:val="(%3)"/>
      <w:lvlJc w:val="left"/>
      <w:pPr>
        <w:tabs>
          <w:tab w:val="num" w:pos="1587"/>
        </w:tabs>
        <w:ind w:left="1984" w:hanging="39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32CE3C72"/>
    <w:multiLevelType w:val="hybridMultilevel"/>
    <w:tmpl w:val="6F046A36"/>
    <w:lvl w:ilvl="0" w:tplc="CA606920">
      <w:start w:val="1"/>
      <w:numFmt w:val="bullet"/>
      <w:pStyle w:val="amprboxBLUEdashed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72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5634239"/>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A5F151C"/>
    <w:multiLevelType w:val="hybridMultilevel"/>
    <w:tmpl w:val="8E70C87E"/>
    <w:lvl w:ilvl="0" w:tplc="13282D14">
      <w:start w:val="1"/>
      <w:numFmt w:val="bullet"/>
      <w:pStyle w:val="amprLISTtealbullets-L1"/>
      <w:lvlText w:val=""/>
      <w:lvlJc w:val="left"/>
      <w:pPr>
        <w:ind w:left="786" w:hanging="360"/>
      </w:pPr>
      <w:rPr>
        <w:rFonts w:ascii="Symbol" w:hAnsi="Symbol" w:hint="default"/>
        <w:color w:val="003399" w:themeColor="text2"/>
      </w:rPr>
    </w:lvl>
    <w:lvl w:ilvl="1" w:tplc="18090003" w:tentative="1">
      <w:start w:val="1"/>
      <w:numFmt w:val="bullet"/>
      <w:lvlText w:val="o"/>
      <w:lvlJc w:val="left"/>
      <w:pPr>
        <w:ind w:left="1506" w:hanging="360"/>
      </w:pPr>
      <w:rPr>
        <w:rFonts w:ascii="Courier New" w:hAnsi="Courier New" w:cs="Courier New" w:hint="default"/>
      </w:rPr>
    </w:lvl>
    <w:lvl w:ilvl="2" w:tplc="18090005" w:tentative="1">
      <w:start w:val="1"/>
      <w:numFmt w:val="bullet"/>
      <w:lvlText w:val=""/>
      <w:lvlJc w:val="left"/>
      <w:pPr>
        <w:ind w:left="2226" w:hanging="360"/>
      </w:pPr>
      <w:rPr>
        <w:rFonts w:ascii="Wingdings" w:hAnsi="Wingdings" w:hint="default"/>
      </w:rPr>
    </w:lvl>
    <w:lvl w:ilvl="3" w:tplc="18090001" w:tentative="1">
      <w:start w:val="1"/>
      <w:numFmt w:val="bullet"/>
      <w:lvlText w:val=""/>
      <w:lvlJc w:val="left"/>
      <w:pPr>
        <w:ind w:left="2946" w:hanging="360"/>
      </w:pPr>
      <w:rPr>
        <w:rFonts w:ascii="Symbol" w:hAnsi="Symbol" w:hint="default"/>
      </w:rPr>
    </w:lvl>
    <w:lvl w:ilvl="4" w:tplc="18090003" w:tentative="1">
      <w:start w:val="1"/>
      <w:numFmt w:val="bullet"/>
      <w:lvlText w:val="o"/>
      <w:lvlJc w:val="left"/>
      <w:pPr>
        <w:ind w:left="3666" w:hanging="360"/>
      </w:pPr>
      <w:rPr>
        <w:rFonts w:ascii="Courier New" w:hAnsi="Courier New" w:cs="Courier New" w:hint="default"/>
      </w:rPr>
    </w:lvl>
    <w:lvl w:ilvl="5" w:tplc="18090005" w:tentative="1">
      <w:start w:val="1"/>
      <w:numFmt w:val="bullet"/>
      <w:lvlText w:val=""/>
      <w:lvlJc w:val="left"/>
      <w:pPr>
        <w:ind w:left="4386" w:hanging="360"/>
      </w:pPr>
      <w:rPr>
        <w:rFonts w:ascii="Wingdings" w:hAnsi="Wingdings" w:hint="default"/>
      </w:rPr>
    </w:lvl>
    <w:lvl w:ilvl="6" w:tplc="18090001" w:tentative="1">
      <w:start w:val="1"/>
      <w:numFmt w:val="bullet"/>
      <w:lvlText w:val=""/>
      <w:lvlJc w:val="left"/>
      <w:pPr>
        <w:ind w:left="5106" w:hanging="360"/>
      </w:pPr>
      <w:rPr>
        <w:rFonts w:ascii="Symbol" w:hAnsi="Symbol" w:hint="default"/>
      </w:rPr>
    </w:lvl>
    <w:lvl w:ilvl="7" w:tplc="18090003" w:tentative="1">
      <w:start w:val="1"/>
      <w:numFmt w:val="bullet"/>
      <w:lvlText w:val="o"/>
      <w:lvlJc w:val="left"/>
      <w:pPr>
        <w:ind w:left="5826" w:hanging="360"/>
      </w:pPr>
      <w:rPr>
        <w:rFonts w:ascii="Courier New" w:hAnsi="Courier New" w:cs="Courier New" w:hint="default"/>
      </w:rPr>
    </w:lvl>
    <w:lvl w:ilvl="8" w:tplc="18090005" w:tentative="1">
      <w:start w:val="1"/>
      <w:numFmt w:val="bullet"/>
      <w:lvlText w:val=""/>
      <w:lvlJc w:val="left"/>
      <w:pPr>
        <w:ind w:left="6546" w:hanging="360"/>
      </w:pPr>
      <w:rPr>
        <w:rFonts w:ascii="Wingdings" w:hAnsi="Wingdings" w:hint="default"/>
      </w:rPr>
    </w:lvl>
  </w:abstractNum>
  <w:abstractNum w:abstractNumId="33" w15:restartNumberingAfterBreak="0">
    <w:nsid w:val="3A7730C4"/>
    <w:multiLevelType w:val="multilevel"/>
    <w:tmpl w:val="B934737C"/>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3F915386"/>
    <w:multiLevelType w:val="hybridMultilevel"/>
    <w:tmpl w:val="F40AB86E"/>
    <w:lvl w:ilvl="0" w:tplc="91469B78">
      <w:start w:val="1"/>
      <w:numFmt w:val="bullet"/>
      <w:pStyle w:val="amprboxBLUEbulletlis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5" w15:restartNumberingAfterBreak="0">
    <w:nsid w:val="411211C1"/>
    <w:multiLevelType w:val="hybridMultilevel"/>
    <w:tmpl w:val="2F6219F4"/>
    <w:lvl w:ilvl="0" w:tplc="FF6200C0">
      <w:start w:val="1"/>
      <w:numFmt w:val="bullet"/>
      <w:pStyle w:val="amprboxGREYbulletlist"/>
      <w:lvlText w:val=""/>
      <w:lvlJc w:val="left"/>
      <w:pPr>
        <w:ind w:left="1021" w:hanging="360"/>
      </w:pPr>
      <w:rPr>
        <w:rFonts w:ascii="Symbol" w:hAnsi="Symbol" w:hint="default"/>
      </w:rPr>
    </w:lvl>
    <w:lvl w:ilvl="1" w:tplc="08090003" w:tentative="1">
      <w:start w:val="1"/>
      <w:numFmt w:val="bullet"/>
      <w:lvlText w:val="o"/>
      <w:lvlJc w:val="left"/>
      <w:pPr>
        <w:ind w:left="1741" w:hanging="360"/>
      </w:pPr>
      <w:rPr>
        <w:rFonts w:ascii="Courier New" w:hAnsi="Courier New" w:cs="Courier New" w:hint="default"/>
      </w:rPr>
    </w:lvl>
    <w:lvl w:ilvl="2" w:tplc="08090005" w:tentative="1">
      <w:start w:val="1"/>
      <w:numFmt w:val="bullet"/>
      <w:lvlText w:val=""/>
      <w:lvlJc w:val="left"/>
      <w:pPr>
        <w:ind w:left="2461" w:hanging="360"/>
      </w:pPr>
      <w:rPr>
        <w:rFonts w:ascii="Wingdings" w:hAnsi="Wingdings" w:hint="default"/>
      </w:rPr>
    </w:lvl>
    <w:lvl w:ilvl="3" w:tplc="08090001" w:tentative="1">
      <w:start w:val="1"/>
      <w:numFmt w:val="bullet"/>
      <w:lvlText w:val=""/>
      <w:lvlJc w:val="left"/>
      <w:pPr>
        <w:ind w:left="3181" w:hanging="360"/>
      </w:pPr>
      <w:rPr>
        <w:rFonts w:ascii="Symbol" w:hAnsi="Symbol" w:hint="default"/>
      </w:rPr>
    </w:lvl>
    <w:lvl w:ilvl="4" w:tplc="08090003" w:tentative="1">
      <w:start w:val="1"/>
      <w:numFmt w:val="bullet"/>
      <w:lvlText w:val="o"/>
      <w:lvlJc w:val="left"/>
      <w:pPr>
        <w:ind w:left="3901" w:hanging="360"/>
      </w:pPr>
      <w:rPr>
        <w:rFonts w:ascii="Courier New" w:hAnsi="Courier New" w:cs="Courier New" w:hint="default"/>
      </w:rPr>
    </w:lvl>
    <w:lvl w:ilvl="5" w:tplc="08090005" w:tentative="1">
      <w:start w:val="1"/>
      <w:numFmt w:val="bullet"/>
      <w:lvlText w:val=""/>
      <w:lvlJc w:val="left"/>
      <w:pPr>
        <w:ind w:left="4621" w:hanging="360"/>
      </w:pPr>
      <w:rPr>
        <w:rFonts w:ascii="Wingdings" w:hAnsi="Wingdings" w:hint="default"/>
      </w:rPr>
    </w:lvl>
    <w:lvl w:ilvl="6" w:tplc="08090001" w:tentative="1">
      <w:start w:val="1"/>
      <w:numFmt w:val="bullet"/>
      <w:lvlText w:val=""/>
      <w:lvlJc w:val="left"/>
      <w:pPr>
        <w:ind w:left="5341" w:hanging="360"/>
      </w:pPr>
      <w:rPr>
        <w:rFonts w:ascii="Symbol" w:hAnsi="Symbol" w:hint="default"/>
      </w:rPr>
    </w:lvl>
    <w:lvl w:ilvl="7" w:tplc="08090003" w:tentative="1">
      <w:start w:val="1"/>
      <w:numFmt w:val="bullet"/>
      <w:lvlText w:val="o"/>
      <w:lvlJc w:val="left"/>
      <w:pPr>
        <w:ind w:left="6061" w:hanging="360"/>
      </w:pPr>
      <w:rPr>
        <w:rFonts w:ascii="Courier New" w:hAnsi="Courier New" w:cs="Courier New" w:hint="default"/>
      </w:rPr>
    </w:lvl>
    <w:lvl w:ilvl="8" w:tplc="08090005" w:tentative="1">
      <w:start w:val="1"/>
      <w:numFmt w:val="bullet"/>
      <w:lvlText w:val=""/>
      <w:lvlJc w:val="left"/>
      <w:pPr>
        <w:ind w:left="6781" w:hanging="360"/>
      </w:pPr>
      <w:rPr>
        <w:rFonts w:ascii="Wingdings" w:hAnsi="Wingdings" w:hint="default"/>
      </w:rPr>
    </w:lvl>
  </w:abstractNum>
  <w:abstractNum w:abstractNumId="3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8" w15:restartNumberingAfterBreak="0">
    <w:nsid w:val="43902230"/>
    <w:multiLevelType w:val="hybridMultilevel"/>
    <w:tmpl w:val="808AAC36"/>
    <w:lvl w:ilvl="0" w:tplc="6BBA1D1E">
      <w:start w:val="1"/>
      <w:numFmt w:val="bullet"/>
      <w:pStyle w:val="amprLISTpurplebullets-L2"/>
      <w:lvlText w:val=""/>
      <w:lvlJc w:val="left"/>
      <w:pPr>
        <w:ind w:left="1797" w:hanging="360"/>
      </w:pPr>
      <w:rPr>
        <w:rFonts w:ascii="Symbol" w:hAnsi="Symbol" w:hint="default"/>
        <w:color w:val="003399" w:themeColor="text2"/>
      </w:rPr>
    </w:lvl>
    <w:lvl w:ilvl="1" w:tplc="18090003" w:tentative="1">
      <w:start w:val="1"/>
      <w:numFmt w:val="bullet"/>
      <w:lvlText w:val="o"/>
      <w:lvlJc w:val="left"/>
      <w:pPr>
        <w:ind w:left="2517" w:hanging="360"/>
      </w:pPr>
      <w:rPr>
        <w:rFonts w:ascii="Courier New" w:hAnsi="Courier New" w:cs="Courier New" w:hint="default"/>
      </w:rPr>
    </w:lvl>
    <w:lvl w:ilvl="2" w:tplc="18090005" w:tentative="1">
      <w:start w:val="1"/>
      <w:numFmt w:val="bullet"/>
      <w:lvlText w:val=""/>
      <w:lvlJc w:val="left"/>
      <w:pPr>
        <w:ind w:left="3237" w:hanging="360"/>
      </w:pPr>
      <w:rPr>
        <w:rFonts w:ascii="Wingdings" w:hAnsi="Wingdings" w:hint="default"/>
      </w:rPr>
    </w:lvl>
    <w:lvl w:ilvl="3" w:tplc="18090001" w:tentative="1">
      <w:start w:val="1"/>
      <w:numFmt w:val="bullet"/>
      <w:lvlText w:val=""/>
      <w:lvlJc w:val="left"/>
      <w:pPr>
        <w:ind w:left="3957" w:hanging="360"/>
      </w:pPr>
      <w:rPr>
        <w:rFonts w:ascii="Symbol" w:hAnsi="Symbol" w:hint="default"/>
      </w:rPr>
    </w:lvl>
    <w:lvl w:ilvl="4" w:tplc="18090003" w:tentative="1">
      <w:start w:val="1"/>
      <w:numFmt w:val="bullet"/>
      <w:lvlText w:val="o"/>
      <w:lvlJc w:val="left"/>
      <w:pPr>
        <w:ind w:left="4677" w:hanging="360"/>
      </w:pPr>
      <w:rPr>
        <w:rFonts w:ascii="Courier New" w:hAnsi="Courier New" w:cs="Courier New" w:hint="default"/>
      </w:rPr>
    </w:lvl>
    <w:lvl w:ilvl="5" w:tplc="18090005" w:tentative="1">
      <w:start w:val="1"/>
      <w:numFmt w:val="bullet"/>
      <w:lvlText w:val=""/>
      <w:lvlJc w:val="left"/>
      <w:pPr>
        <w:ind w:left="5397" w:hanging="360"/>
      </w:pPr>
      <w:rPr>
        <w:rFonts w:ascii="Wingdings" w:hAnsi="Wingdings" w:hint="default"/>
      </w:rPr>
    </w:lvl>
    <w:lvl w:ilvl="6" w:tplc="18090001" w:tentative="1">
      <w:start w:val="1"/>
      <w:numFmt w:val="bullet"/>
      <w:lvlText w:val=""/>
      <w:lvlJc w:val="left"/>
      <w:pPr>
        <w:ind w:left="6117" w:hanging="360"/>
      </w:pPr>
      <w:rPr>
        <w:rFonts w:ascii="Symbol" w:hAnsi="Symbol" w:hint="default"/>
      </w:rPr>
    </w:lvl>
    <w:lvl w:ilvl="7" w:tplc="18090003" w:tentative="1">
      <w:start w:val="1"/>
      <w:numFmt w:val="bullet"/>
      <w:lvlText w:val="o"/>
      <w:lvlJc w:val="left"/>
      <w:pPr>
        <w:ind w:left="6837" w:hanging="360"/>
      </w:pPr>
      <w:rPr>
        <w:rFonts w:ascii="Courier New" w:hAnsi="Courier New" w:cs="Courier New" w:hint="default"/>
      </w:rPr>
    </w:lvl>
    <w:lvl w:ilvl="8" w:tplc="18090005" w:tentative="1">
      <w:start w:val="1"/>
      <w:numFmt w:val="bullet"/>
      <w:lvlText w:val=""/>
      <w:lvlJc w:val="left"/>
      <w:pPr>
        <w:ind w:left="7557" w:hanging="360"/>
      </w:pPr>
      <w:rPr>
        <w:rFonts w:ascii="Wingdings" w:hAnsi="Wingdings" w:hint="default"/>
      </w:rPr>
    </w:lvl>
  </w:abstractNum>
  <w:abstractNum w:abstractNumId="3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0" w15:restartNumberingAfterBreak="0">
    <w:nsid w:val="52B23671"/>
    <w:multiLevelType w:val="multilevel"/>
    <w:tmpl w:val="3E4EA4C8"/>
    <w:lvl w:ilvl="0">
      <w:start w:val="1"/>
      <w:numFmt w:val="bullet"/>
      <w:pStyle w:val="amprboxPURPLEdashedbulletlis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2" w15:restartNumberingAfterBreak="0">
    <w:nsid w:val="59BB2205"/>
    <w:multiLevelType w:val="multilevel"/>
    <w:tmpl w:val="695C81FA"/>
    <w:styleLink w:val="amprLISTgreenbullets"/>
    <w:lvl w:ilvl="0">
      <w:start w:val="1"/>
      <w:numFmt w:val="bullet"/>
      <w:lvlText w:val=""/>
      <w:lvlJc w:val="left"/>
      <w:pPr>
        <w:ind w:left="714" w:hanging="357"/>
      </w:pPr>
      <w:rPr>
        <w:rFonts w:ascii="Symbol" w:hAnsi="Symbol" w:hint="default"/>
        <w:color w:val="008139" w:themeColor="accent1"/>
      </w:rPr>
    </w:lvl>
    <w:lvl w:ilvl="1">
      <w:start w:val="1"/>
      <w:numFmt w:val="bullet"/>
      <w:lvlText w:val="—"/>
      <w:lvlJc w:val="left"/>
      <w:pPr>
        <w:ind w:left="1435" w:hanging="358"/>
      </w:pPr>
      <w:rPr>
        <w:rFonts w:ascii="EC Square Sans Pro" w:hAnsi="EC Square Sans Pro" w:hint="default"/>
        <w:color w:val="008139" w:themeColor="accent1"/>
      </w:rPr>
    </w:lvl>
    <w:lvl w:ilvl="2">
      <w:start w:val="1"/>
      <w:numFmt w:val="bullet"/>
      <w:lvlText w:val=""/>
      <w:lvlJc w:val="left"/>
      <w:pPr>
        <w:ind w:left="2155" w:hanging="358"/>
      </w:pPr>
      <w:rPr>
        <w:rFonts w:ascii="Wingdings" w:hAnsi="Wingdings" w:hint="default"/>
      </w:rPr>
    </w:lvl>
    <w:lvl w:ilvl="3">
      <w:start w:val="1"/>
      <w:numFmt w:val="bullet"/>
      <w:lvlText w:val=""/>
      <w:lvlJc w:val="left"/>
      <w:pPr>
        <w:ind w:left="2875" w:hanging="358"/>
      </w:pPr>
      <w:rPr>
        <w:rFonts w:ascii="Symbol" w:hAnsi="Symbol" w:hint="default"/>
      </w:rPr>
    </w:lvl>
    <w:lvl w:ilvl="4">
      <w:start w:val="1"/>
      <w:numFmt w:val="bullet"/>
      <w:lvlText w:val="o"/>
      <w:lvlJc w:val="left"/>
      <w:pPr>
        <w:ind w:left="3595" w:hanging="357"/>
      </w:pPr>
      <w:rPr>
        <w:rFonts w:ascii="Courier New" w:hAnsi="Courier New" w:hint="default"/>
      </w:rPr>
    </w:lvl>
    <w:lvl w:ilvl="5">
      <w:start w:val="1"/>
      <w:numFmt w:val="bullet"/>
      <w:lvlText w:val=""/>
      <w:lvlJc w:val="left"/>
      <w:pPr>
        <w:ind w:left="4093" w:hanging="360"/>
      </w:pPr>
      <w:rPr>
        <w:rFonts w:ascii="Wingdings" w:hAnsi="Wingdings" w:hint="default"/>
      </w:rPr>
    </w:lvl>
    <w:lvl w:ilvl="6">
      <w:start w:val="1"/>
      <w:numFmt w:val="bullet"/>
      <w:lvlText w:val=""/>
      <w:lvlJc w:val="left"/>
      <w:pPr>
        <w:ind w:left="4813" w:hanging="360"/>
      </w:pPr>
      <w:rPr>
        <w:rFonts w:ascii="Symbol" w:hAnsi="Symbol" w:hint="default"/>
      </w:rPr>
    </w:lvl>
    <w:lvl w:ilvl="7">
      <w:start w:val="1"/>
      <w:numFmt w:val="bullet"/>
      <w:lvlText w:val="o"/>
      <w:lvlJc w:val="left"/>
      <w:pPr>
        <w:ind w:left="5533" w:hanging="360"/>
      </w:pPr>
      <w:rPr>
        <w:rFonts w:ascii="Courier New" w:hAnsi="Courier New" w:cs="Courier New" w:hint="default"/>
      </w:rPr>
    </w:lvl>
    <w:lvl w:ilvl="8">
      <w:start w:val="1"/>
      <w:numFmt w:val="bullet"/>
      <w:lvlText w:val=""/>
      <w:lvlJc w:val="left"/>
      <w:pPr>
        <w:ind w:left="6253" w:hanging="360"/>
      </w:pPr>
      <w:rPr>
        <w:rFonts w:ascii="Wingdings" w:hAnsi="Wingdings" w:hint="default"/>
      </w:rPr>
    </w:lvl>
  </w:abstractNum>
  <w:abstractNum w:abstractNumId="4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4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4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6" w15:restartNumberingAfterBreak="0">
    <w:nsid w:val="5F9362DA"/>
    <w:multiLevelType w:val="multilevel"/>
    <w:tmpl w:val="0862F1D4"/>
    <w:styleLink w:val="List51"/>
    <w:lvl w:ilvl="0">
      <w:start w:val="1"/>
      <w:numFmt w:val="bullet"/>
      <w:lvlText w:val="➢"/>
      <w:lvlJc w:val="left"/>
      <w:rPr>
        <w:b/>
        <w:bCs/>
        <w:i/>
        <w:iCs/>
        <w:color w:val="000000"/>
        <w:position w:val="0"/>
        <w:u w:color="000000"/>
      </w:rPr>
    </w:lvl>
    <w:lvl w:ilvl="1">
      <w:start w:val="1"/>
      <w:numFmt w:val="bullet"/>
      <w:lvlText w:val="o"/>
      <w:lvlJc w:val="left"/>
      <w:rPr>
        <w:b/>
        <w:bCs/>
        <w:i/>
        <w:iCs/>
        <w:color w:val="000000"/>
        <w:position w:val="0"/>
        <w:u w:color="000000"/>
      </w:rPr>
    </w:lvl>
    <w:lvl w:ilvl="2">
      <w:start w:val="1"/>
      <w:numFmt w:val="bullet"/>
      <w:lvlText w:val="▪"/>
      <w:lvlJc w:val="left"/>
      <w:rPr>
        <w:b/>
        <w:bCs/>
        <w:i/>
        <w:iCs/>
        <w:color w:val="000000"/>
        <w:position w:val="0"/>
        <w:u w:color="000000"/>
      </w:rPr>
    </w:lvl>
    <w:lvl w:ilvl="3">
      <w:start w:val="1"/>
      <w:numFmt w:val="bullet"/>
      <w:lvlText w:val="•"/>
      <w:lvlJc w:val="left"/>
      <w:rPr>
        <w:b/>
        <w:bCs/>
        <w:i/>
        <w:iCs/>
        <w:color w:val="000000"/>
        <w:position w:val="0"/>
        <w:u w:color="000000"/>
      </w:rPr>
    </w:lvl>
    <w:lvl w:ilvl="4">
      <w:start w:val="1"/>
      <w:numFmt w:val="bullet"/>
      <w:lvlText w:val="o"/>
      <w:lvlJc w:val="left"/>
      <w:rPr>
        <w:b/>
        <w:bCs/>
        <w:i/>
        <w:iCs/>
        <w:color w:val="000000"/>
        <w:position w:val="0"/>
        <w:u w:color="000000"/>
      </w:rPr>
    </w:lvl>
    <w:lvl w:ilvl="5">
      <w:start w:val="1"/>
      <w:numFmt w:val="bullet"/>
      <w:lvlText w:val="▪"/>
      <w:lvlJc w:val="left"/>
      <w:rPr>
        <w:b/>
        <w:bCs/>
        <w:i/>
        <w:iCs/>
        <w:color w:val="000000"/>
        <w:position w:val="0"/>
        <w:u w:color="000000"/>
      </w:rPr>
    </w:lvl>
    <w:lvl w:ilvl="6">
      <w:start w:val="1"/>
      <w:numFmt w:val="bullet"/>
      <w:lvlText w:val="•"/>
      <w:lvlJc w:val="left"/>
      <w:rPr>
        <w:b/>
        <w:bCs/>
        <w:i/>
        <w:iCs/>
        <w:color w:val="000000"/>
        <w:position w:val="0"/>
        <w:u w:color="000000"/>
      </w:rPr>
    </w:lvl>
    <w:lvl w:ilvl="7">
      <w:start w:val="1"/>
      <w:numFmt w:val="bullet"/>
      <w:lvlText w:val="o"/>
      <w:lvlJc w:val="left"/>
      <w:rPr>
        <w:b/>
        <w:bCs/>
        <w:i/>
        <w:iCs/>
        <w:color w:val="000000"/>
        <w:position w:val="0"/>
        <w:u w:color="000000"/>
      </w:rPr>
    </w:lvl>
    <w:lvl w:ilvl="8">
      <w:start w:val="1"/>
      <w:numFmt w:val="bullet"/>
      <w:lvlText w:val="▪"/>
      <w:lvlJc w:val="left"/>
      <w:rPr>
        <w:b/>
        <w:bCs/>
        <w:i/>
        <w:iCs/>
        <w:color w:val="000000"/>
        <w:position w:val="0"/>
        <w:u w:color="000000"/>
      </w:rPr>
    </w:lvl>
  </w:abstractNum>
  <w:abstractNum w:abstractNumId="47"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pStyle w:val="HeadingNoTOC5"/>
      <w:lvlText w:val="(%5)"/>
      <w:lvlJc w:val="left"/>
      <w:pPr>
        <w:ind w:left="1800" w:hanging="360"/>
      </w:pPr>
    </w:lvl>
    <w:lvl w:ilvl="5">
      <w:start w:val="1"/>
      <w:numFmt w:val="lowerRoman"/>
      <w:pStyle w:val="HeadingNoTOC6"/>
      <w:lvlText w:val="(%6)"/>
      <w:lvlJc w:val="left"/>
      <w:pPr>
        <w:ind w:left="2160" w:hanging="360"/>
      </w:pPr>
    </w:lvl>
    <w:lvl w:ilvl="6">
      <w:start w:val="1"/>
      <w:numFmt w:val="decimal"/>
      <w:pStyle w:val="HeadingNoTOC7"/>
      <w:lvlText w:val="%7."/>
      <w:lvlJc w:val="left"/>
      <w:pPr>
        <w:ind w:left="2520" w:hanging="360"/>
      </w:pPr>
    </w:lvl>
    <w:lvl w:ilvl="7">
      <w:start w:val="1"/>
      <w:numFmt w:val="lowerLetter"/>
      <w:pStyle w:val="HeadingNoTOC8"/>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9" w15:restartNumberingAfterBreak="0">
    <w:nsid w:val="6DCE3737"/>
    <w:multiLevelType w:val="hybridMultilevel"/>
    <w:tmpl w:val="5672D150"/>
    <w:lvl w:ilvl="0" w:tplc="F754E194">
      <w:numFmt w:val="bullet"/>
      <w:lvlText w:val="-"/>
      <w:lvlJc w:val="left"/>
      <w:pPr>
        <w:ind w:left="788" w:hanging="360"/>
      </w:pPr>
      <w:rPr>
        <w:rFonts w:ascii="Calibri" w:eastAsiaTheme="minorHAnsi" w:hAnsi="Calibri" w:cs="Calibri" w:hint="default"/>
      </w:rPr>
    </w:lvl>
    <w:lvl w:ilvl="1" w:tplc="8ED04298">
      <w:start w:val="1"/>
      <w:numFmt w:val="bullet"/>
      <w:pStyle w:val="bullets-orange"/>
      <w:lvlText w:val="‒"/>
      <w:lvlJc w:val="left"/>
      <w:pPr>
        <w:ind w:left="1508" w:hanging="360"/>
      </w:pPr>
      <w:rPr>
        <w:rFonts w:ascii="EC Square Sans Pro Medium" w:hAnsi="EC Square Sans Pro Medium" w:hint="default"/>
        <w:color w:val="008139" w:themeColor="accent1"/>
        <w:sz w:val="20"/>
      </w:rPr>
    </w:lvl>
    <w:lvl w:ilvl="2" w:tplc="18090005" w:tentative="1">
      <w:start w:val="1"/>
      <w:numFmt w:val="bullet"/>
      <w:lvlText w:val=""/>
      <w:lvlJc w:val="left"/>
      <w:pPr>
        <w:ind w:left="2228" w:hanging="360"/>
      </w:pPr>
      <w:rPr>
        <w:rFonts w:ascii="Wingdings" w:hAnsi="Wingdings" w:hint="default"/>
      </w:rPr>
    </w:lvl>
    <w:lvl w:ilvl="3" w:tplc="18090001" w:tentative="1">
      <w:start w:val="1"/>
      <w:numFmt w:val="bullet"/>
      <w:lvlText w:val=""/>
      <w:lvlJc w:val="left"/>
      <w:pPr>
        <w:ind w:left="2948" w:hanging="360"/>
      </w:pPr>
      <w:rPr>
        <w:rFonts w:ascii="Symbol" w:hAnsi="Symbol" w:hint="default"/>
      </w:rPr>
    </w:lvl>
    <w:lvl w:ilvl="4" w:tplc="18090003" w:tentative="1">
      <w:start w:val="1"/>
      <w:numFmt w:val="bullet"/>
      <w:lvlText w:val="o"/>
      <w:lvlJc w:val="left"/>
      <w:pPr>
        <w:ind w:left="3668" w:hanging="360"/>
      </w:pPr>
      <w:rPr>
        <w:rFonts w:ascii="Courier New" w:hAnsi="Courier New" w:cs="Courier New" w:hint="default"/>
      </w:rPr>
    </w:lvl>
    <w:lvl w:ilvl="5" w:tplc="18090005" w:tentative="1">
      <w:start w:val="1"/>
      <w:numFmt w:val="bullet"/>
      <w:lvlText w:val=""/>
      <w:lvlJc w:val="left"/>
      <w:pPr>
        <w:ind w:left="4388" w:hanging="360"/>
      </w:pPr>
      <w:rPr>
        <w:rFonts w:ascii="Wingdings" w:hAnsi="Wingdings" w:hint="default"/>
      </w:rPr>
    </w:lvl>
    <w:lvl w:ilvl="6" w:tplc="18090001" w:tentative="1">
      <w:start w:val="1"/>
      <w:numFmt w:val="bullet"/>
      <w:lvlText w:val=""/>
      <w:lvlJc w:val="left"/>
      <w:pPr>
        <w:ind w:left="5108" w:hanging="360"/>
      </w:pPr>
      <w:rPr>
        <w:rFonts w:ascii="Symbol" w:hAnsi="Symbol" w:hint="default"/>
      </w:rPr>
    </w:lvl>
    <w:lvl w:ilvl="7" w:tplc="18090003" w:tentative="1">
      <w:start w:val="1"/>
      <w:numFmt w:val="bullet"/>
      <w:lvlText w:val="o"/>
      <w:lvlJc w:val="left"/>
      <w:pPr>
        <w:ind w:left="5828" w:hanging="360"/>
      </w:pPr>
      <w:rPr>
        <w:rFonts w:ascii="Courier New" w:hAnsi="Courier New" w:cs="Courier New" w:hint="default"/>
      </w:rPr>
    </w:lvl>
    <w:lvl w:ilvl="8" w:tplc="18090005" w:tentative="1">
      <w:start w:val="1"/>
      <w:numFmt w:val="bullet"/>
      <w:lvlText w:val=""/>
      <w:lvlJc w:val="left"/>
      <w:pPr>
        <w:ind w:left="6548" w:hanging="360"/>
      </w:pPr>
      <w:rPr>
        <w:rFonts w:ascii="Wingdings" w:hAnsi="Wingdings" w:hint="default"/>
      </w:rPr>
    </w:lvl>
  </w:abstractNum>
  <w:abstractNum w:abstractNumId="50" w15:restartNumberingAfterBreak="0">
    <w:nsid w:val="786D336D"/>
    <w:multiLevelType w:val="multilevel"/>
    <w:tmpl w:val="7D14CAFA"/>
    <w:lvl w:ilvl="0">
      <w:start w:val="1"/>
      <w:numFmt w:val="decimal"/>
      <w:lvlText w:val="%1."/>
      <w:lvlJc w:val="left"/>
      <w:pPr>
        <w:ind w:left="907" w:hanging="907"/>
      </w:pPr>
      <w:rPr>
        <w:rFonts w:hint="default"/>
      </w:rPr>
    </w:lvl>
    <w:lvl w:ilvl="1">
      <w:start w:val="1"/>
      <w:numFmt w:val="decimal"/>
      <w:pStyle w:val="amprH3Title2-Numbered-11"/>
      <w:lvlText w:val="2.%2."/>
      <w:lvlJc w:val="left"/>
      <w:pPr>
        <w:ind w:left="907" w:hanging="907"/>
      </w:pPr>
      <w:rPr>
        <w:rFonts w:hint="default"/>
      </w:rPr>
    </w:lvl>
    <w:lvl w:ilvl="2">
      <w:start w:val="1"/>
      <w:numFmt w:val="decimal"/>
      <w:pStyle w:val="amprH4Subhead1-Numbered-111"/>
      <w:lvlText w:val="%1.%2.%3."/>
      <w:lvlJc w:val="left"/>
      <w:pPr>
        <w:ind w:left="907" w:hanging="907"/>
      </w:pPr>
      <w:rPr>
        <w:rFonts w:hint="default"/>
      </w:rPr>
    </w:lvl>
    <w:lvl w:ilvl="3">
      <w:start w:val="1"/>
      <w:numFmt w:val="decimal"/>
      <w:pStyle w:val="amprH5Subhead2-Numbered-1111"/>
      <w:lvlText w:val="%1.%2.%3.%4."/>
      <w:lvlJc w:val="left"/>
      <w:pPr>
        <w:ind w:left="907" w:hanging="907"/>
      </w:pPr>
      <w:rPr>
        <w:rFonts w:hint="default"/>
      </w:rPr>
    </w:lvl>
    <w:lvl w:ilvl="4">
      <w:start w:val="1"/>
      <w:numFmt w:val="lowerLetter"/>
      <w:lvlText w:val="(%5)"/>
      <w:lvlJc w:val="left"/>
      <w:pPr>
        <w:ind w:left="578" w:hanging="578"/>
      </w:pPr>
      <w:rPr>
        <w:rFonts w:hint="default"/>
      </w:rPr>
    </w:lvl>
    <w:lvl w:ilvl="5">
      <w:start w:val="1"/>
      <w:numFmt w:val="lowerRoman"/>
      <w:lvlText w:val="(%6)"/>
      <w:lvlJc w:val="left"/>
      <w:pPr>
        <w:ind w:left="578" w:hanging="578"/>
      </w:pPr>
      <w:rPr>
        <w:rFonts w:hint="default"/>
      </w:rPr>
    </w:lvl>
    <w:lvl w:ilvl="6">
      <w:start w:val="1"/>
      <w:numFmt w:val="decimal"/>
      <w:lvlText w:val="%7."/>
      <w:lvlJc w:val="left"/>
      <w:pPr>
        <w:ind w:left="578" w:hanging="578"/>
      </w:pPr>
      <w:rPr>
        <w:rFonts w:hint="default"/>
      </w:rPr>
    </w:lvl>
    <w:lvl w:ilvl="7">
      <w:start w:val="1"/>
      <w:numFmt w:val="lowerLetter"/>
      <w:lvlText w:val="%8."/>
      <w:lvlJc w:val="left"/>
      <w:pPr>
        <w:ind w:left="578" w:hanging="578"/>
      </w:pPr>
      <w:rPr>
        <w:rFonts w:hint="default"/>
      </w:rPr>
    </w:lvl>
    <w:lvl w:ilvl="8">
      <w:start w:val="1"/>
      <w:numFmt w:val="lowerRoman"/>
      <w:lvlText w:val="%9."/>
      <w:lvlJc w:val="left"/>
      <w:pPr>
        <w:ind w:left="578" w:hanging="578"/>
      </w:pPr>
      <w:rPr>
        <w:rFonts w:hint="default"/>
      </w:rPr>
    </w:lvl>
  </w:abstractNum>
  <w:abstractNum w:abstractNumId="5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9"/>
  </w:num>
  <w:num w:numId="2">
    <w:abstractNumId w:val="43"/>
  </w:num>
  <w:num w:numId="3">
    <w:abstractNumId w:val="44"/>
  </w:num>
  <w:num w:numId="4">
    <w:abstractNumId w:val="27"/>
  </w:num>
  <w:num w:numId="5">
    <w:abstractNumId w:val="41"/>
  </w:num>
  <w:num w:numId="6">
    <w:abstractNumId w:val="51"/>
  </w:num>
  <w:num w:numId="7">
    <w:abstractNumId w:val="47"/>
  </w:num>
  <w:num w:numId="8">
    <w:abstractNumId w:val="47"/>
  </w:num>
  <w:num w:numId="9">
    <w:abstractNumId w:val="9"/>
  </w:num>
  <w:num w:numId="10">
    <w:abstractNumId w:val="7"/>
  </w:num>
  <w:num w:numId="11">
    <w:abstractNumId w:val="6"/>
  </w:num>
  <w:num w:numId="12">
    <w:abstractNumId w:val="5"/>
  </w:num>
  <w:num w:numId="13">
    <w:abstractNumId w:val="8"/>
  </w:num>
  <w:num w:numId="14">
    <w:abstractNumId w:val="3"/>
  </w:num>
  <w:num w:numId="15">
    <w:abstractNumId w:val="2"/>
  </w:num>
  <w:num w:numId="16">
    <w:abstractNumId w:val="1"/>
  </w:num>
  <w:num w:numId="17">
    <w:abstractNumId w:val="25"/>
  </w:num>
  <w:num w:numId="18">
    <w:abstractNumId w:val="20"/>
  </w:num>
  <w:num w:numId="19">
    <w:abstractNumId w:val="45"/>
  </w:num>
  <w:num w:numId="20">
    <w:abstractNumId w:val="36"/>
  </w:num>
  <w:num w:numId="21">
    <w:abstractNumId w:val="48"/>
  </w:num>
  <w:num w:numId="22">
    <w:abstractNumId w:val="28"/>
  </w:num>
  <w:num w:numId="23">
    <w:abstractNumId w:val="37"/>
  </w:num>
  <w:num w:numId="24">
    <w:abstractNumId w:val="30"/>
  </w:num>
  <w:num w:numId="25">
    <w:abstractNumId w:val="34"/>
  </w:num>
  <w:num w:numId="26">
    <w:abstractNumId w:val="40"/>
  </w:num>
  <w:num w:numId="27">
    <w:abstractNumId w:val="23"/>
  </w:num>
  <w:num w:numId="28">
    <w:abstractNumId w:val="42"/>
  </w:num>
  <w:num w:numId="29">
    <w:abstractNumId w:val="15"/>
  </w:num>
  <w:num w:numId="30">
    <w:abstractNumId w:val="14"/>
  </w:num>
  <w:num w:numId="31">
    <w:abstractNumId w:val="12"/>
  </w:num>
  <w:num w:numId="32">
    <w:abstractNumId w:val="21"/>
  </w:num>
  <w:num w:numId="33">
    <w:abstractNumId w:val="18"/>
  </w:num>
  <w:num w:numId="34">
    <w:abstractNumId w:val="4"/>
  </w:num>
  <w:num w:numId="35">
    <w:abstractNumId w:val="26"/>
  </w:num>
  <w:num w:numId="36">
    <w:abstractNumId w:val="0"/>
  </w:num>
  <w:num w:numId="37">
    <w:abstractNumId w:val="13"/>
  </w:num>
  <w:num w:numId="38">
    <w:abstractNumId w:val="35"/>
  </w:num>
  <w:num w:numId="39">
    <w:abstractNumId w:val="31"/>
  </w:num>
  <w:num w:numId="40">
    <w:abstractNumId w:val="11"/>
  </w:num>
  <w:num w:numId="41">
    <w:abstractNumId w:val="10"/>
  </w:num>
  <w:num w:numId="42">
    <w:abstractNumId w:val="33"/>
  </w:num>
  <w:num w:numId="43">
    <w:abstractNumId w:val="46"/>
  </w:num>
  <w:num w:numId="44">
    <w:abstractNumId w:val="32"/>
  </w:num>
  <w:num w:numId="45">
    <w:abstractNumId w:val="22"/>
  </w:num>
  <w:num w:numId="46">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47">
    <w:abstractNumId w:val="24"/>
  </w:num>
  <w:num w:numId="48">
    <w:abstractNumId w:val="49"/>
  </w:num>
  <w:num w:numId="49">
    <w:abstractNumId w:val="17"/>
  </w:num>
  <w:num w:numId="50">
    <w:abstractNumId w:val="29"/>
  </w:num>
  <w:num w:numId="51">
    <w:abstractNumId w:val="19"/>
    <w:lvlOverride w:ilvl="0">
      <w:lvl w:ilvl="0">
        <w:start w:val="1"/>
        <w:numFmt w:val="decimal"/>
        <w:lvlText w:val="%1."/>
        <w:lvlJc w:val="left"/>
        <w:pPr>
          <w:ind w:left="907" w:hanging="907"/>
        </w:pPr>
        <w:rPr>
          <w:rFonts w:hint="default"/>
        </w:rPr>
      </w:lvl>
    </w:lvlOverride>
    <w:lvlOverride w:ilvl="1">
      <w:lvl w:ilvl="1">
        <w:start w:val="1"/>
        <w:numFmt w:val="decimal"/>
        <w:lvlText w:val="%1.%2."/>
        <w:lvlJc w:val="left"/>
        <w:pPr>
          <w:ind w:left="907" w:hanging="907"/>
        </w:pPr>
        <w:rPr>
          <w:rFonts w:hint="default"/>
        </w:rPr>
      </w:lvl>
    </w:lvlOverride>
    <w:lvlOverride w:ilvl="2">
      <w:lvl w:ilvl="2">
        <w:start w:val="1"/>
        <w:numFmt w:val="decimal"/>
        <w:lvlText w:val="%1.%2.%3."/>
        <w:lvlJc w:val="left"/>
        <w:pPr>
          <w:ind w:left="907" w:hanging="907"/>
        </w:pPr>
        <w:rPr>
          <w:rFonts w:hint="default"/>
        </w:rPr>
      </w:lvl>
    </w:lvlOverride>
    <w:lvlOverride w:ilvl="3">
      <w:lvl w:ilvl="3">
        <w:start w:val="1"/>
        <w:numFmt w:val="decimal"/>
        <w:lvlText w:val="%1.%2.%3.%4."/>
        <w:lvlJc w:val="left"/>
        <w:pPr>
          <w:ind w:left="907" w:hanging="907"/>
        </w:pPr>
        <w:rPr>
          <w:rFonts w:hint="default"/>
        </w:rPr>
      </w:lvl>
    </w:lvlOverride>
    <w:lvlOverride w:ilvl="4">
      <w:lvl w:ilvl="4">
        <w:start w:val="1"/>
        <w:numFmt w:val="lowerLetter"/>
        <w:lvlText w:val="(%5)"/>
        <w:lvlJc w:val="left"/>
        <w:pPr>
          <w:ind w:left="578" w:hanging="578"/>
        </w:pPr>
        <w:rPr>
          <w:rFonts w:hint="default"/>
        </w:rPr>
      </w:lvl>
    </w:lvlOverride>
    <w:lvlOverride w:ilvl="5">
      <w:lvl w:ilvl="5">
        <w:start w:val="1"/>
        <w:numFmt w:val="lowerRoman"/>
        <w:lvlText w:val="(%6)"/>
        <w:lvlJc w:val="left"/>
        <w:pPr>
          <w:ind w:left="578" w:hanging="578"/>
        </w:pPr>
        <w:rPr>
          <w:rFonts w:hint="default"/>
        </w:rPr>
      </w:lvl>
    </w:lvlOverride>
    <w:lvlOverride w:ilvl="6">
      <w:lvl w:ilvl="6">
        <w:start w:val="1"/>
        <w:numFmt w:val="decimal"/>
        <w:lvlText w:val="%7."/>
        <w:lvlJc w:val="left"/>
        <w:pPr>
          <w:ind w:left="578" w:hanging="578"/>
        </w:pPr>
        <w:rPr>
          <w:rFonts w:hint="default"/>
        </w:rPr>
      </w:lvl>
    </w:lvlOverride>
    <w:lvlOverride w:ilvl="7">
      <w:lvl w:ilvl="7">
        <w:start w:val="1"/>
        <w:numFmt w:val="lowerLetter"/>
        <w:lvlText w:val="%8."/>
        <w:lvlJc w:val="left"/>
        <w:pPr>
          <w:ind w:left="578" w:hanging="578"/>
        </w:pPr>
        <w:rPr>
          <w:rFonts w:hint="default"/>
        </w:rPr>
      </w:lvl>
    </w:lvlOverride>
    <w:lvlOverride w:ilvl="8">
      <w:lvl w:ilvl="8">
        <w:start w:val="1"/>
        <w:numFmt w:val="lowerRoman"/>
        <w:lvlText w:val="%9."/>
        <w:lvlJc w:val="left"/>
        <w:pPr>
          <w:ind w:left="578" w:hanging="578"/>
        </w:pPr>
        <w:rPr>
          <w:rFonts w:hint="default"/>
        </w:rPr>
      </w:lvl>
    </w:lvlOverride>
  </w:num>
  <w:num w:numId="52">
    <w:abstractNumId w:val="38"/>
  </w:num>
  <w:num w:numId="53">
    <w:abstractNumId w:val="50"/>
  </w:num>
  <w:num w:numId="54">
    <w:abstractNumId w:val="32"/>
  </w:num>
  <w:num w:numId="55">
    <w:abstractNumId w:val="3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defaultTabStop w:val="708"/>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3843A15A-8BCD-41E6-A411-D138BCFA2E08"/>
    <w:docVar w:name="LW_COVERPAGE_TYPE" w:val="1"/>
    <w:docVar w:name="LW_CROSSREFERENCE" w:val="{COM(2026) 279 final}"/>
    <w:docVar w:name="LW_DocType" w:val="NORMAL"/>
    <w:docVar w:name="LW_EMISSION" w:val="15.6.2026"/>
    <w:docVar w:name="LW_EMISSION_ISODATE" w:val="2026-06-15"/>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Annual report to the Discharge Authority on internal audits carried out in 2025"/>
    <w:docVar w:name="LW_PART_NBR" w:val="1"/>
    <w:docVar w:name="LW_PART_NBR_TOTAL" w:val="1"/>
    <w:docVar w:name="LW_REF.INST.NEW" w:val="SWD"/>
    <w:docVar w:name="LW_REF.INST.NEW_ADOPTED" w:val="final"/>
    <w:docVar w:name="LW_REF.INST.NEW_TEXT" w:val="(2026) 1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
    <w:docVar w:name="LW_TYPE.DOC.CP" w:val="COMMISSION STAFF WORKING DOCUMENT"/>
    <w:docVar w:name="LW_TYPEACTEPRINCIPAL.CP" w:val="REPORT FROM THE COMMISSION _x000b__x000b_TO THE EUROPEAN PARLIAMENT, THE COUNCIL AND THE COURT OF AUDITORS"/>
    <w:docVar w:name="LwApiVersions" w:val="LW4CoDe 1.24.5.0; LW 9.2, Build 20251112"/>
  </w:docVars>
  <w:rsids>
    <w:rsidRoot w:val="00AB714E"/>
    <w:rsid w:val="00000F81"/>
    <w:rsid w:val="000016D6"/>
    <w:rsid w:val="00001B52"/>
    <w:rsid w:val="000024C3"/>
    <w:rsid w:val="000024E8"/>
    <w:rsid w:val="00002F93"/>
    <w:rsid w:val="0000447A"/>
    <w:rsid w:val="00010FD6"/>
    <w:rsid w:val="00011F5C"/>
    <w:rsid w:val="00012744"/>
    <w:rsid w:val="00017D5C"/>
    <w:rsid w:val="0002004A"/>
    <w:rsid w:val="00020FC5"/>
    <w:rsid w:val="00021102"/>
    <w:rsid w:val="00022CBF"/>
    <w:rsid w:val="00023582"/>
    <w:rsid w:val="00023684"/>
    <w:rsid w:val="000246DD"/>
    <w:rsid w:val="00026994"/>
    <w:rsid w:val="000323FF"/>
    <w:rsid w:val="00034081"/>
    <w:rsid w:val="000341BE"/>
    <w:rsid w:val="000342B5"/>
    <w:rsid w:val="000345DD"/>
    <w:rsid w:val="000346A7"/>
    <w:rsid w:val="000347EC"/>
    <w:rsid w:val="0003593D"/>
    <w:rsid w:val="0004333A"/>
    <w:rsid w:val="00044F4B"/>
    <w:rsid w:val="0004593A"/>
    <w:rsid w:val="000463FA"/>
    <w:rsid w:val="00047EFA"/>
    <w:rsid w:val="0005337F"/>
    <w:rsid w:val="0005398C"/>
    <w:rsid w:val="00054C93"/>
    <w:rsid w:val="000551E0"/>
    <w:rsid w:val="0005564F"/>
    <w:rsid w:val="00055D9E"/>
    <w:rsid w:val="00056351"/>
    <w:rsid w:val="00057A6C"/>
    <w:rsid w:val="00057AD4"/>
    <w:rsid w:val="000637AB"/>
    <w:rsid w:val="00065883"/>
    <w:rsid w:val="00066C87"/>
    <w:rsid w:val="000672A0"/>
    <w:rsid w:val="00070201"/>
    <w:rsid w:val="00070FD3"/>
    <w:rsid w:val="00071F1E"/>
    <w:rsid w:val="00074826"/>
    <w:rsid w:val="0007482F"/>
    <w:rsid w:val="00074E08"/>
    <w:rsid w:val="00076436"/>
    <w:rsid w:val="00076D02"/>
    <w:rsid w:val="00077DE4"/>
    <w:rsid w:val="00080F9B"/>
    <w:rsid w:val="0008102A"/>
    <w:rsid w:val="00081853"/>
    <w:rsid w:val="0008462A"/>
    <w:rsid w:val="00087D91"/>
    <w:rsid w:val="000902DD"/>
    <w:rsid w:val="00090869"/>
    <w:rsid w:val="00090DD8"/>
    <w:rsid w:val="00090E7B"/>
    <w:rsid w:val="00091C45"/>
    <w:rsid w:val="00092754"/>
    <w:rsid w:val="0009342B"/>
    <w:rsid w:val="0009525A"/>
    <w:rsid w:val="00095B66"/>
    <w:rsid w:val="00096859"/>
    <w:rsid w:val="0009776D"/>
    <w:rsid w:val="000A304B"/>
    <w:rsid w:val="000A429C"/>
    <w:rsid w:val="000A42D0"/>
    <w:rsid w:val="000A570E"/>
    <w:rsid w:val="000A65E0"/>
    <w:rsid w:val="000A6D0F"/>
    <w:rsid w:val="000A78CC"/>
    <w:rsid w:val="000B021C"/>
    <w:rsid w:val="000B1470"/>
    <w:rsid w:val="000B390B"/>
    <w:rsid w:val="000B5731"/>
    <w:rsid w:val="000B5C39"/>
    <w:rsid w:val="000B603E"/>
    <w:rsid w:val="000B7A81"/>
    <w:rsid w:val="000B7E45"/>
    <w:rsid w:val="000B9BDF"/>
    <w:rsid w:val="000C002D"/>
    <w:rsid w:val="000C1072"/>
    <w:rsid w:val="000C1625"/>
    <w:rsid w:val="000C208E"/>
    <w:rsid w:val="000C30C5"/>
    <w:rsid w:val="000C3AFF"/>
    <w:rsid w:val="000C3C61"/>
    <w:rsid w:val="000C49FB"/>
    <w:rsid w:val="000C5973"/>
    <w:rsid w:val="000C61AA"/>
    <w:rsid w:val="000C6C1A"/>
    <w:rsid w:val="000C7602"/>
    <w:rsid w:val="000C7DCC"/>
    <w:rsid w:val="000D2859"/>
    <w:rsid w:val="000D4B92"/>
    <w:rsid w:val="000D5B67"/>
    <w:rsid w:val="000D5E77"/>
    <w:rsid w:val="000E0308"/>
    <w:rsid w:val="000E361C"/>
    <w:rsid w:val="000E5033"/>
    <w:rsid w:val="000E58B9"/>
    <w:rsid w:val="000E7262"/>
    <w:rsid w:val="000E7909"/>
    <w:rsid w:val="000F184D"/>
    <w:rsid w:val="000F1BE4"/>
    <w:rsid w:val="000F2B8B"/>
    <w:rsid w:val="000F2E6F"/>
    <w:rsid w:val="000F5C91"/>
    <w:rsid w:val="000F63EF"/>
    <w:rsid w:val="000F6A8C"/>
    <w:rsid w:val="000F6F5A"/>
    <w:rsid w:val="001003C8"/>
    <w:rsid w:val="0010069B"/>
    <w:rsid w:val="00101636"/>
    <w:rsid w:val="0010289E"/>
    <w:rsid w:val="00111719"/>
    <w:rsid w:val="001123F7"/>
    <w:rsid w:val="00113833"/>
    <w:rsid w:val="00114181"/>
    <w:rsid w:val="00114533"/>
    <w:rsid w:val="00114B7A"/>
    <w:rsid w:val="00114C2B"/>
    <w:rsid w:val="00115D47"/>
    <w:rsid w:val="00116827"/>
    <w:rsid w:val="001174F1"/>
    <w:rsid w:val="0011791B"/>
    <w:rsid w:val="001231F6"/>
    <w:rsid w:val="00124BAB"/>
    <w:rsid w:val="0012698F"/>
    <w:rsid w:val="001278DB"/>
    <w:rsid w:val="00127BC0"/>
    <w:rsid w:val="00130C5A"/>
    <w:rsid w:val="0013186F"/>
    <w:rsid w:val="00131B68"/>
    <w:rsid w:val="00131E3C"/>
    <w:rsid w:val="001324B0"/>
    <w:rsid w:val="00132805"/>
    <w:rsid w:val="00132F32"/>
    <w:rsid w:val="0013318F"/>
    <w:rsid w:val="0013445D"/>
    <w:rsid w:val="0013503D"/>
    <w:rsid w:val="0013669A"/>
    <w:rsid w:val="00137676"/>
    <w:rsid w:val="00140C48"/>
    <w:rsid w:val="00143A87"/>
    <w:rsid w:val="00144ACD"/>
    <w:rsid w:val="001464D2"/>
    <w:rsid w:val="00146D99"/>
    <w:rsid w:val="001479C9"/>
    <w:rsid w:val="00147C7D"/>
    <w:rsid w:val="00151965"/>
    <w:rsid w:val="00152C6D"/>
    <w:rsid w:val="00153DD1"/>
    <w:rsid w:val="00154693"/>
    <w:rsid w:val="00155762"/>
    <w:rsid w:val="00157E0D"/>
    <w:rsid w:val="00160480"/>
    <w:rsid w:val="00160820"/>
    <w:rsid w:val="00161C0A"/>
    <w:rsid w:val="00164F83"/>
    <w:rsid w:val="00170F70"/>
    <w:rsid w:val="00173AB1"/>
    <w:rsid w:val="001771BF"/>
    <w:rsid w:val="00180119"/>
    <w:rsid w:val="0018110E"/>
    <w:rsid w:val="00181908"/>
    <w:rsid w:val="00182F9A"/>
    <w:rsid w:val="001847F8"/>
    <w:rsid w:val="00185E0B"/>
    <w:rsid w:val="00186990"/>
    <w:rsid w:val="00194701"/>
    <w:rsid w:val="00195254"/>
    <w:rsid w:val="001A0A57"/>
    <w:rsid w:val="001A0C58"/>
    <w:rsid w:val="001A1FFF"/>
    <w:rsid w:val="001A5A6D"/>
    <w:rsid w:val="001A7EBB"/>
    <w:rsid w:val="001B0969"/>
    <w:rsid w:val="001B0CDE"/>
    <w:rsid w:val="001B196F"/>
    <w:rsid w:val="001B3023"/>
    <w:rsid w:val="001B3055"/>
    <w:rsid w:val="001B3A83"/>
    <w:rsid w:val="001B406B"/>
    <w:rsid w:val="001B543F"/>
    <w:rsid w:val="001B57CD"/>
    <w:rsid w:val="001B5D87"/>
    <w:rsid w:val="001C0332"/>
    <w:rsid w:val="001C108A"/>
    <w:rsid w:val="001C12D7"/>
    <w:rsid w:val="001C1522"/>
    <w:rsid w:val="001C417A"/>
    <w:rsid w:val="001D17CF"/>
    <w:rsid w:val="001D1A8F"/>
    <w:rsid w:val="001D35B5"/>
    <w:rsid w:val="001D698F"/>
    <w:rsid w:val="001D6FE4"/>
    <w:rsid w:val="001D7D54"/>
    <w:rsid w:val="001E0E85"/>
    <w:rsid w:val="001E1A37"/>
    <w:rsid w:val="001E39C5"/>
    <w:rsid w:val="001E48C2"/>
    <w:rsid w:val="001E4DA2"/>
    <w:rsid w:val="001E51BA"/>
    <w:rsid w:val="001E77E2"/>
    <w:rsid w:val="001F0DF8"/>
    <w:rsid w:val="001F1876"/>
    <w:rsid w:val="001F1DA7"/>
    <w:rsid w:val="001F3B03"/>
    <w:rsid w:val="001F4976"/>
    <w:rsid w:val="001F55D3"/>
    <w:rsid w:val="002031DC"/>
    <w:rsid w:val="00204856"/>
    <w:rsid w:val="0020494A"/>
    <w:rsid w:val="00206EF5"/>
    <w:rsid w:val="00211553"/>
    <w:rsid w:val="00211B0A"/>
    <w:rsid w:val="0021213A"/>
    <w:rsid w:val="00213B02"/>
    <w:rsid w:val="002146A0"/>
    <w:rsid w:val="002152F8"/>
    <w:rsid w:val="00217CD5"/>
    <w:rsid w:val="002208AE"/>
    <w:rsid w:val="00220FF4"/>
    <w:rsid w:val="002214B6"/>
    <w:rsid w:val="002215CA"/>
    <w:rsid w:val="002230AE"/>
    <w:rsid w:val="00223928"/>
    <w:rsid w:val="00223F4E"/>
    <w:rsid w:val="00224036"/>
    <w:rsid w:val="00225D23"/>
    <w:rsid w:val="00230710"/>
    <w:rsid w:val="00231040"/>
    <w:rsid w:val="00231791"/>
    <w:rsid w:val="0023375A"/>
    <w:rsid w:val="00235551"/>
    <w:rsid w:val="00236C43"/>
    <w:rsid w:val="00237E7D"/>
    <w:rsid w:val="00242720"/>
    <w:rsid w:val="00243E15"/>
    <w:rsid w:val="002458FB"/>
    <w:rsid w:val="0025056C"/>
    <w:rsid w:val="002525FA"/>
    <w:rsid w:val="00253C96"/>
    <w:rsid w:val="00256B71"/>
    <w:rsid w:val="00261C5A"/>
    <w:rsid w:val="00263034"/>
    <w:rsid w:val="00263532"/>
    <w:rsid w:val="00263784"/>
    <w:rsid w:val="0026472C"/>
    <w:rsid w:val="0026513F"/>
    <w:rsid w:val="00267027"/>
    <w:rsid w:val="00270A48"/>
    <w:rsid w:val="0027160A"/>
    <w:rsid w:val="002721D0"/>
    <w:rsid w:val="00272AC5"/>
    <w:rsid w:val="00273B22"/>
    <w:rsid w:val="00273BE2"/>
    <w:rsid w:val="00277E59"/>
    <w:rsid w:val="0028001C"/>
    <w:rsid w:val="0028162B"/>
    <w:rsid w:val="00282598"/>
    <w:rsid w:val="002840F5"/>
    <w:rsid w:val="002841BA"/>
    <w:rsid w:val="002849EE"/>
    <w:rsid w:val="00284DFF"/>
    <w:rsid w:val="00285ED5"/>
    <w:rsid w:val="002865C7"/>
    <w:rsid w:val="00286CDC"/>
    <w:rsid w:val="00290DB0"/>
    <w:rsid w:val="00291216"/>
    <w:rsid w:val="00291607"/>
    <w:rsid w:val="00291BC3"/>
    <w:rsid w:val="00295962"/>
    <w:rsid w:val="002961A3"/>
    <w:rsid w:val="002A07E4"/>
    <w:rsid w:val="002A2129"/>
    <w:rsid w:val="002A23D0"/>
    <w:rsid w:val="002A3C8C"/>
    <w:rsid w:val="002A41C7"/>
    <w:rsid w:val="002A5683"/>
    <w:rsid w:val="002A5948"/>
    <w:rsid w:val="002A6042"/>
    <w:rsid w:val="002A6B25"/>
    <w:rsid w:val="002A6FFF"/>
    <w:rsid w:val="002B06D5"/>
    <w:rsid w:val="002B1368"/>
    <w:rsid w:val="002B4EBE"/>
    <w:rsid w:val="002B54EC"/>
    <w:rsid w:val="002B7D86"/>
    <w:rsid w:val="002C0DBB"/>
    <w:rsid w:val="002C1920"/>
    <w:rsid w:val="002C1A6A"/>
    <w:rsid w:val="002C308A"/>
    <w:rsid w:val="002C6F65"/>
    <w:rsid w:val="002C7085"/>
    <w:rsid w:val="002D1B66"/>
    <w:rsid w:val="002D47DF"/>
    <w:rsid w:val="002D4871"/>
    <w:rsid w:val="002D62A2"/>
    <w:rsid w:val="002E04E5"/>
    <w:rsid w:val="002E050A"/>
    <w:rsid w:val="002E32EB"/>
    <w:rsid w:val="002E5E46"/>
    <w:rsid w:val="002E79CD"/>
    <w:rsid w:val="002F0003"/>
    <w:rsid w:val="002F14DE"/>
    <w:rsid w:val="002F1863"/>
    <w:rsid w:val="002F1C97"/>
    <w:rsid w:val="002F1DDB"/>
    <w:rsid w:val="002F265B"/>
    <w:rsid w:val="002F3056"/>
    <w:rsid w:val="002F4022"/>
    <w:rsid w:val="002F4943"/>
    <w:rsid w:val="002F52D6"/>
    <w:rsid w:val="002F691D"/>
    <w:rsid w:val="002F789A"/>
    <w:rsid w:val="00302360"/>
    <w:rsid w:val="003025F3"/>
    <w:rsid w:val="00303F82"/>
    <w:rsid w:val="00305574"/>
    <w:rsid w:val="003079ED"/>
    <w:rsid w:val="003116C6"/>
    <w:rsid w:val="00311B14"/>
    <w:rsid w:val="00312258"/>
    <w:rsid w:val="00313A33"/>
    <w:rsid w:val="00316346"/>
    <w:rsid w:val="00316792"/>
    <w:rsid w:val="00316A17"/>
    <w:rsid w:val="00317A41"/>
    <w:rsid w:val="00317C8D"/>
    <w:rsid w:val="0032030F"/>
    <w:rsid w:val="00321E9C"/>
    <w:rsid w:val="0032381D"/>
    <w:rsid w:val="00323A6B"/>
    <w:rsid w:val="00323DED"/>
    <w:rsid w:val="00324CE5"/>
    <w:rsid w:val="00327EC5"/>
    <w:rsid w:val="00333044"/>
    <w:rsid w:val="0033699A"/>
    <w:rsid w:val="00336B03"/>
    <w:rsid w:val="00340BE8"/>
    <w:rsid w:val="00342138"/>
    <w:rsid w:val="003437FE"/>
    <w:rsid w:val="003464EC"/>
    <w:rsid w:val="00346723"/>
    <w:rsid w:val="00346987"/>
    <w:rsid w:val="00347BA7"/>
    <w:rsid w:val="00347C69"/>
    <w:rsid w:val="003537A5"/>
    <w:rsid w:val="003567B2"/>
    <w:rsid w:val="00360E38"/>
    <w:rsid w:val="00363DC6"/>
    <w:rsid w:val="00367D88"/>
    <w:rsid w:val="003703F3"/>
    <w:rsid w:val="00370C5A"/>
    <w:rsid w:val="00370CD8"/>
    <w:rsid w:val="00372EDB"/>
    <w:rsid w:val="00373668"/>
    <w:rsid w:val="00375A16"/>
    <w:rsid w:val="003763F1"/>
    <w:rsid w:val="00376F52"/>
    <w:rsid w:val="003805A5"/>
    <w:rsid w:val="00380808"/>
    <w:rsid w:val="00385103"/>
    <w:rsid w:val="00386D7B"/>
    <w:rsid w:val="00387098"/>
    <w:rsid w:val="0038758E"/>
    <w:rsid w:val="00387D5D"/>
    <w:rsid w:val="0039027E"/>
    <w:rsid w:val="00390B59"/>
    <w:rsid w:val="00390F27"/>
    <w:rsid w:val="00390FF7"/>
    <w:rsid w:val="00392099"/>
    <w:rsid w:val="003923E1"/>
    <w:rsid w:val="00392621"/>
    <w:rsid w:val="0039291B"/>
    <w:rsid w:val="00392C88"/>
    <w:rsid w:val="00394E17"/>
    <w:rsid w:val="003965AC"/>
    <w:rsid w:val="003965D9"/>
    <w:rsid w:val="00396EAF"/>
    <w:rsid w:val="00397ECA"/>
    <w:rsid w:val="003A1706"/>
    <w:rsid w:val="003A1ADA"/>
    <w:rsid w:val="003A2B86"/>
    <w:rsid w:val="003A2B8B"/>
    <w:rsid w:val="003A3256"/>
    <w:rsid w:val="003A46D4"/>
    <w:rsid w:val="003A4D16"/>
    <w:rsid w:val="003A72BF"/>
    <w:rsid w:val="003B1D6C"/>
    <w:rsid w:val="003B23CF"/>
    <w:rsid w:val="003B66FA"/>
    <w:rsid w:val="003B69C3"/>
    <w:rsid w:val="003B706B"/>
    <w:rsid w:val="003C1519"/>
    <w:rsid w:val="003C1763"/>
    <w:rsid w:val="003C18C9"/>
    <w:rsid w:val="003C19D1"/>
    <w:rsid w:val="003C23C0"/>
    <w:rsid w:val="003C28C5"/>
    <w:rsid w:val="003C328A"/>
    <w:rsid w:val="003C3C51"/>
    <w:rsid w:val="003C4860"/>
    <w:rsid w:val="003C6DF9"/>
    <w:rsid w:val="003C6F49"/>
    <w:rsid w:val="003D09DF"/>
    <w:rsid w:val="003D5E54"/>
    <w:rsid w:val="003E0178"/>
    <w:rsid w:val="003E0FE7"/>
    <w:rsid w:val="003E19E5"/>
    <w:rsid w:val="003E1A40"/>
    <w:rsid w:val="003E1CCD"/>
    <w:rsid w:val="003E340C"/>
    <w:rsid w:val="003E3719"/>
    <w:rsid w:val="003E3FF2"/>
    <w:rsid w:val="003E4650"/>
    <w:rsid w:val="003E59BA"/>
    <w:rsid w:val="003E79B3"/>
    <w:rsid w:val="003F1ECC"/>
    <w:rsid w:val="003F3650"/>
    <w:rsid w:val="003F3B90"/>
    <w:rsid w:val="003F460F"/>
    <w:rsid w:val="003F4D0F"/>
    <w:rsid w:val="003F55B0"/>
    <w:rsid w:val="003F6A08"/>
    <w:rsid w:val="003F76BA"/>
    <w:rsid w:val="0040040A"/>
    <w:rsid w:val="00400AA4"/>
    <w:rsid w:val="00401165"/>
    <w:rsid w:val="00401216"/>
    <w:rsid w:val="004035E5"/>
    <w:rsid w:val="00403D51"/>
    <w:rsid w:val="00404F85"/>
    <w:rsid w:val="00406B4A"/>
    <w:rsid w:val="00411BF1"/>
    <w:rsid w:val="00411DDE"/>
    <w:rsid w:val="00412EFF"/>
    <w:rsid w:val="00413532"/>
    <w:rsid w:val="00414627"/>
    <w:rsid w:val="004146CD"/>
    <w:rsid w:val="0041531F"/>
    <w:rsid w:val="00417553"/>
    <w:rsid w:val="0041793D"/>
    <w:rsid w:val="00420843"/>
    <w:rsid w:val="00420F0C"/>
    <w:rsid w:val="004213A6"/>
    <w:rsid w:val="0042190F"/>
    <w:rsid w:val="004239BE"/>
    <w:rsid w:val="00424D10"/>
    <w:rsid w:val="00425838"/>
    <w:rsid w:val="00430988"/>
    <w:rsid w:val="0043187D"/>
    <w:rsid w:val="00436693"/>
    <w:rsid w:val="00436711"/>
    <w:rsid w:val="00437226"/>
    <w:rsid w:val="00440886"/>
    <w:rsid w:val="00440B56"/>
    <w:rsid w:val="00441130"/>
    <w:rsid w:val="00443244"/>
    <w:rsid w:val="00443A4C"/>
    <w:rsid w:val="0044547A"/>
    <w:rsid w:val="0045091B"/>
    <w:rsid w:val="00453A12"/>
    <w:rsid w:val="00453C62"/>
    <w:rsid w:val="00456C0A"/>
    <w:rsid w:val="0045741D"/>
    <w:rsid w:val="00461191"/>
    <w:rsid w:val="00462454"/>
    <w:rsid w:val="004632F5"/>
    <w:rsid w:val="004649E5"/>
    <w:rsid w:val="00464E6B"/>
    <w:rsid w:val="00467794"/>
    <w:rsid w:val="00467BC2"/>
    <w:rsid w:val="00472BE5"/>
    <w:rsid w:val="00472C9B"/>
    <w:rsid w:val="004739A9"/>
    <w:rsid w:val="004745F9"/>
    <w:rsid w:val="004768FD"/>
    <w:rsid w:val="00477B8C"/>
    <w:rsid w:val="004802B1"/>
    <w:rsid w:val="00480365"/>
    <w:rsid w:val="004804E9"/>
    <w:rsid w:val="00481011"/>
    <w:rsid w:val="00481F21"/>
    <w:rsid w:val="00482301"/>
    <w:rsid w:val="00482449"/>
    <w:rsid w:val="00483101"/>
    <w:rsid w:val="00483F51"/>
    <w:rsid w:val="00484081"/>
    <w:rsid w:val="0048432D"/>
    <w:rsid w:val="004843B4"/>
    <w:rsid w:val="00484420"/>
    <w:rsid w:val="00485641"/>
    <w:rsid w:val="00485839"/>
    <w:rsid w:val="004863CE"/>
    <w:rsid w:val="004864F7"/>
    <w:rsid w:val="0048730D"/>
    <w:rsid w:val="004900F4"/>
    <w:rsid w:val="0049045C"/>
    <w:rsid w:val="00490EDB"/>
    <w:rsid w:val="00491912"/>
    <w:rsid w:val="00495761"/>
    <w:rsid w:val="00497375"/>
    <w:rsid w:val="004A080D"/>
    <w:rsid w:val="004A0E4F"/>
    <w:rsid w:val="004A1704"/>
    <w:rsid w:val="004A37A7"/>
    <w:rsid w:val="004A3E19"/>
    <w:rsid w:val="004A4453"/>
    <w:rsid w:val="004A6F35"/>
    <w:rsid w:val="004A7411"/>
    <w:rsid w:val="004A786C"/>
    <w:rsid w:val="004B1272"/>
    <w:rsid w:val="004B1546"/>
    <w:rsid w:val="004B27C4"/>
    <w:rsid w:val="004B41C9"/>
    <w:rsid w:val="004B4569"/>
    <w:rsid w:val="004B60DD"/>
    <w:rsid w:val="004B63DC"/>
    <w:rsid w:val="004B66DE"/>
    <w:rsid w:val="004B6C9B"/>
    <w:rsid w:val="004B6CD8"/>
    <w:rsid w:val="004C0396"/>
    <w:rsid w:val="004C1F65"/>
    <w:rsid w:val="004C52C7"/>
    <w:rsid w:val="004C53BB"/>
    <w:rsid w:val="004D2B4F"/>
    <w:rsid w:val="004D4D07"/>
    <w:rsid w:val="004E0040"/>
    <w:rsid w:val="004E09BC"/>
    <w:rsid w:val="004E11BB"/>
    <w:rsid w:val="004E1B44"/>
    <w:rsid w:val="004E2F02"/>
    <w:rsid w:val="004E445F"/>
    <w:rsid w:val="004E5122"/>
    <w:rsid w:val="004E70E7"/>
    <w:rsid w:val="004E773D"/>
    <w:rsid w:val="004F0AD5"/>
    <w:rsid w:val="004F0DD5"/>
    <w:rsid w:val="004F104A"/>
    <w:rsid w:val="004F3B0F"/>
    <w:rsid w:val="004F43F7"/>
    <w:rsid w:val="004F4741"/>
    <w:rsid w:val="004F5FE5"/>
    <w:rsid w:val="005027C7"/>
    <w:rsid w:val="00503132"/>
    <w:rsid w:val="00504EF4"/>
    <w:rsid w:val="00507D2A"/>
    <w:rsid w:val="00510687"/>
    <w:rsid w:val="00510E5F"/>
    <w:rsid w:val="00511068"/>
    <w:rsid w:val="0051128C"/>
    <w:rsid w:val="00513C89"/>
    <w:rsid w:val="00514009"/>
    <w:rsid w:val="005140B0"/>
    <w:rsid w:val="00514F43"/>
    <w:rsid w:val="00515D91"/>
    <w:rsid w:val="005166C1"/>
    <w:rsid w:val="00516E60"/>
    <w:rsid w:val="00521085"/>
    <w:rsid w:val="005218A9"/>
    <w:rsid w:val="00522651"/>
    <w:rsid w:val="00522BF2"/>
    <w:rsid w:val="00523320"/>
    <w:rsid w:val="005236F5"/>
    <w:rsid w:val="00523E3E"/>
    <w:rsid w:val="005249E3"/>
    <w:rsid w:val="00524B42"/>
    <w:rsid w:val="0052670F"/>
    <w:rsid w:val="00530C1E"/>
    <w:rsid w:val="005310A0"/>
    <w:rsid w:val="00533871"/>
    <w:rsid w:val="005341B6"/>
    <w:rsid w:val="005350E1"/>
    <w:rsid w:val="00535999"/>
    <w:rsid w:val="0053606B"/>
    <w:rsid w:val="00536B7C"/>
    <w:rsid w:val="00537FD2"/>
    <w:rsid w:val="0054022E"/>
    <w:rsid w:val="00540E35"/>
    <w:rsid w:val="0054240B"/>
    <w:rsid w:val="00543376"/>
    <w:rsid w:val="00544113"/>
    <w:rsid w:val="005452A7"/>
    <w:rsid w:val="005468CD"/>
    <w:rsid w:val="00546EA6"/>
    <w:rsid w:val="005526F5"/>
    <w:rsid w:val="005543AE"/>
    <w:rsid w:val="00554BBB"/>
    <w:rsid w:val="00555318"/>
    <w:rsid w:val="00557495"/>
    <w:rsid w:val="00557A5B"/>
    <w:rsid w:val="00562B1C"/>
    <w:rsid w:val="00563E6B"/>
    <w:rsid w:val="00566410"/>
    <w:rsid w:val="0057062A"/>
    <w:rsid w:val="00571112"/>
    <w:rsid w:val="00571730"/>
    <w:rsid w:val="00571736"/>
    <w:rsid w:val="005723BC"/>
    <w:rsid w:val="00572908"/>
    <w:rsid w:val="0057366A"/>
    <w:rsid w:val="00574AC7"/>
    <w:rsid w:val="00574CCE"/>
    <w:rsid w:val="0057724D"/>
    <w:rsid w:val="00581940"/>
    <w:rsid w:val="00581BBC"/>
    <w:rsid w:val="0058298D"/>
    <w:rsid w:val="00583B4E"/>
    <w:rsid w:val="00584D35"/>
    <w:rsid w:val="005907B7"/>
    <w:rsid w:val="005916F6"/>
    <w:rsid w:val="00591AEA"/>
    <w:rsid w:val="00592486"/>
    <w:rsid w:val="005926FA"/>
    <w:rsid w:val="00595F4C"/>
    <w:rsid w:val="00597297"/>
    <w:rsid w:val="00597C48"/>
    <w:rsid w:val="005A17A8"/>
    <w:rsid w:val="005A29D1"/>
    <w:rsid w:val="005A4190"/>
    <w:rsid w:val="005A493E"/>
    <w:rsid w:val="005A4EA2"/>
    <w:rsid w:val="005A53E0"/>
    <w:rsid w:val="005A6130"/>
    <w:rsid w:val="005A6430"/>
    <w:rsid w:val="005A6F8E"/>
    <w:rsid w:val="005B23A4"/>
    <w:rsid w:val="005B7957"/>
    <w:rsid w:val="005C3E0A"/>
    <w:rsid w:val="005D240A"/>
    <w:rsid w:val="005D2879"/>
    <w:rsid w:val="005D6165"/>
    <w:rsid w:val="005D65D2"/>
    <w:rsid w:val="005E04E8"/>
    <w:rsid w:val="005E0AA0"/>
    <w:rsid w:val="005E0DD1"/>
    <w:rsid w:val="005E24D1"/>
    <w:rsid w:val="005E299E"/>
    <w:rsid w:val="005E2D5F"/>
    <w:rsid w:val="005E55C1"/>
    <w:rsid w:val="005F03B9"/>
    <w:rsid w:val="005F04D8"/>
    <w:rsid w:val="005F3032"/>
    <w:rsid w:val="005F3424"/>
    <w:rsid w:val="005F3F07"/>
    <w:rsid w:val="005F5D9C"/>
    <w:rsid w:val="005F655A"/>
    <w:rsid w:val="005F6B30"/>
    <w:rsid w:val="005F6E04"/>
    <w:rsid w:val="005F716B"/>
    <w:rsid w:val="006002D7"/>
    <w:rsid w:val="006009D7"/>
    <w:rsid w:val="00600FDC"/>
    <w:rsid w:val="00604FB0"/>
    <w:rsid w:val="00611177"/>
    <w:rsid w:val="006112C8"/>
    <w:rsid w:val="006116BB"/>
    <w:rsid w:val="00611861"/>
    <w:rsid w:val="006118C4"/>
    <w:rsid w:val="00613972"/>
    <w:rsid w:val="00614832"/>
    <w:rsid w:val="0061642E"/>
    <w:rsid w:val="00620376"/>
    <w:rsid w:val="006216D3"/>
    <w:rsid w:val="00621F13"/>
    <w:rsid w:val="006220AA"/>
    <w:rsid w:val="00622113"/>
    <w:rsid w:val="006224C1"/>
    <w:rsid w:val="006246DB"/>
    <w:rsid w:val="0062558E"/>
    <w:rsid w:val="00625C06"/>
    <w:rsid w:val="00626D2A"/>
    <w:rsid w:val="00627365"/>
    <w:rsid w:val="0063072D"/>
    <w:rsid w:val="00631A46"/>
    <w:rsid w:val="00632CFA"/>
    <w:rsid w:val="006332B7"/>
    <w:rsid w:val="00633EB8"/>
    <w:rsid w:val="00634269"/>
    <w:rsid w:val="006342C5"/>
    <w:rsid w:val="00636D79"/>
    <w:rsid w:val="006371D1"/>
    <w:rsid w:val="006375C7"/>
    <w:rsid w:val="00637860"/>
    <w:rsid w:val="00640FE3"/>
    <w:rsid w:val="00640FF8"/>
    <w:rsid w:val="00641A00"/>
    <w:rsid w:val="00641F0F"/>
    <w:rsid w:val="006439D4"/>
    <w:rsid w:val="006454A6"/>
    <w:rsid w:val="00645D18"/>
    <w:rsid w:val="00646027"/>
    <w:rsid w:val="00647CFC"/>
    <w:rsid w:val="0065365B"/>
    <w:rsid w:val="006546F9"/>
    <w:rsid w:val="0065651E"/>
    <w:rsid w:val="00657652"/>
    <w:rsid w:val="006632BE"/>
    <w:rsid w:val="0066378E"/>
    <w:rsid w:val="00663DF9"/>
    <w:rsid w:val="00664581"/>
    <w:rsid w:val="00664EAE"/>
    <w:rsid w:val="006651AF"/>
    <w:rsid w:val="00665282"/>
    <w:rsid w:val="006660D1"/>
    <w:rsid w:val="00667193"/>
    <w:rsid w:val="006676BA"/>
    <w:rsid w:val="0067139E"/>
    <w:rsid w:val="00671875"/>
    <w:rsid w:val="00672067"/>
    <w:rsid w:val="00672AA0"/>
    <w:rsid w:val="00674AF9"/>
    <w:rsid w:val="00675972"/>
    <w:rsid w:val="006762E6"/>
    <w:rsid w:val="006803DD"/>
    <w:rsid w:val="00681595"/>
    <w:rsid w:val="00681ECD"/>
    <w:rsid w:val="0068325D"/>
    <w:rsid w:val="006833B6"/>
    <w:rsid w:val="006842C7"/>
    <w:rsid w:val="00684939"/>
    <w:rsid w:val="0068573B"/>
    <w:rsid w:val="006860B2"/>
    <w:rsid w:val="006878EA"/>
    <w:rsid w:val="00687E21"/>
    <w:rsid w:val="0069065C"/>
    <w:rsid w:val="00691004"/>
    <w:rsid w:val="00691A3F"/>
    <w:rsid w:val="00692331"/>
    <w:rsid w:val="00693714"/>
    <w:rsid w:val="00695943"/>
    <w:rsid w:val="006968F7"/>
    <w:rsid w:val="006A0560"/>
    <w:rsid w:val="006A1D1A"/>
    <w:rsid w:val="006A3E5E"/>
    <w:rsid w:val="006A49B5"/>
    <w:rsid w:val="006A5808"/>
    <w:rsid w:val="006A6DCC"/>
    <w:rsid w:val="006A73E7"/>
    <w:rsid w:val="006A7C8C"/>
    <w:rsid w:val="006B2267"/>
    <w:rsid w:val="006B2854"/>
    <w:rsid w:val="006B3094"/>
    <w:rsid w:val="006B337A"/>
    <w:rsid w:val="006B33AD"/>
    <w:rsid w:val="006B54D5"/>
    <w:rsid w:val="006B5636"/>
    <w:rsid w:val="006B6807"/>
    <w:rsid w:val="006B7964"/>
    <w:rsid w:val="006C20BD"/>
    <w:rsid w:val="006C4D96"/>
    <w:rsid w:val="006C5626"/>
    <w:rsid w:val="006C7191"/>
    <w:rsid w:val="006D176B"/>
    <w:rsid w:val="006D19B1"/>
    <w:rsid w:val="006D1BF6"/>
    <w:rsid w:val="006D4A7C"/>
    <w:rsid w:val="006D5B4F"/>
    <w:rsid w:val="006D5F04"/>
    <w:rsid w:val="006D7B81"/>
    <w:rsid w:val="006E1024"/>
    <w:rsid w:val="006E187C"/>
    <w:rsid w:val="006E1911"/>
    <w:rsid w:val="006E1AA9"/>
    <w:rsid w:val="006E1C05"/>
    <w:rsid w:val="006E3C30"/>
    <w:rsid w:val="006E3C7F"/>
    <w:rsid w:val="006E4DD6"/>
    <w:rsid w:val="006E5BF8"/>
    <w:rsid w:val="006E7457"/>
    <w:rsid w:val="006F14B8"/>
    <w:rsid w:val="006F3FCD"/>
    <w:rsid w:val="006F64E3"/>
    <w:rsid w:val="007000AD"/>
    <w:rsid w:val="00700304"/>
    <w:rsid w:val="00702551"/>
    <w:rsid w:val="007055BB"/>
    <w:rsid w:val="00707643"/>
    <w:rsid w:val="00712C70"/>
    <w:rsid w:val="007157EA"/>
    <w:rsid w:val="00715FF9"/>
    <w:rsid w:val="007168AF"/>
    <w:rsid w:val="00716EA7"/>
    <w:rsid w:val="007211FD"/>
    <w:rsid w:val="007212C9"/>
    <w:rsid w:val="00721311"/>
    <w:rsid w:val="0072428F"/>
    <w:rsid w:val="00724682"/>
    <w:rsid w:val="007264BE"/>
    <w:rsid w:val="00727936"/>
    <w:rsid w:val="00730171"/>
    <w:rsid w:val="00730DD1"/>
    <w:rsid w:val="007335B9"/>
    <w:rsid w:val="00734B9F"/>
    <w:rsid w:val="00735F2B"/>
    <w:rsid w:val="00737BC8"/>
    <w:rsid w:val="00741715"/>
    <w:rsid w:val="00742EA1"/>
    <w:rsid w:val="007450C0"/>
    <w:rsid w:val="007450D4"/>
    <w:rsid w:val="0074581E"/>
    <w:rsid w:val="0075089E"/>
    <w:rsid w:val="00750D4D"/>
    <w:rsid w:val="007521C6"/>
    <w:rsid w:val="007528DD"/>
    <w:rsid w:val="007544BB"/>
    <w:rsid w:val="0075546A"/>
    <w:rsid w:val="007562D3"/>
    <w:rsid w:val="00762169"/>
    <w:rsid w:val="00762C83"/>
    <w:rsid w:val="00763187"/>
    <w:rsid w:val="00763666"/>
    <w:rsid w:val="00766520"/>
    <w:rsid w:val="00770DEE"/>
    <w:rsid w:val="00774643"/>
    <w:rsid w:val="007768EC"/>
    <w:rsid w:val="00777666"/>
    <w:rsid w:val="007801CB"/>
    <w:rsid w:val="00780E03"/>
    <w:rsid w:val="007817CF"/>
    <w:rsid w:val="00781A71"/>
    <w:rsid w:val="007824A1"/>
    <w:rsid w:val="00782AE2"/>
    <w:rsid w:val="00783D1D"/>
    <w:rsid w:val="00784419"/>
    <w:rsid w:val="007844CA"/>
    <w:rsid w:val="007859A5"/>
    <w:rsid w:val="00785F42"/>
    <w:rsid w:val="00790018"/>
    <w:rsid w:val="00790CA6"/>
    <w:rsid w:val="00792D05"/>
    <w:rsid w:val="00792DD1"/>
    <w:rsid w:val="00796847"/>
    <w:rsid w:val="00796D8D"/>
    <w:rsid w:val="007A06C0"/>
    <w:rsid w:val="007A18DF"/>
    <w:rsid w:val="007A198F"/>
    <w:rsid w:val="007A2495"/>
    <w:rsid w:val="007A45B3"/>
    <w:rsid w:val="007A63C3"/>
    <w:rsid w:val="007A63DC"/>
    <w:rsid w:val="007A65D3"/>
    <w:rsid w:val="007A6CF0"/>
    <w:rsid w:val="007A703F"/>
    <w:rsid w:val="007A78D1"/>
    <w:rsid w:val="007B0B37"/>
    <w:rsid w:val="007B7734"/>
    <w:rsid w:val="007C12E5"/>
    <w:rsid w:val="007C2916"/>
    <w:rsid w:val="007C3F3A"/>
    <w:rsid w:val="007C471C"/>
    <w:rsid w:val="007C6C06"/>
    <w:rsid w:val="007C6E40"/>
    <w:rsid w:val="007C72E5"/>
    <w:rsid w:val="007D0228"/>
    <w:rsid w:val="007D3408"/>
    <w:rsid w:val="007D3A61"/>
    <w:rsid w:val="007D3D3D"/>
    <w:rsid w:val="007D6B39"/>
    <w:rsid w:val="007D6C82"/>
    <w:rsid w:val="007D75EE"/>
    <w:rsid w:val="007D78F4"/>
    <w:rsid w:val="007D7D12"/>
    <w:rsid w:val="007D7FF1"/>
    <w:rsid w:val="007E2DEC"/>
    <w:rsid w:val="007E3E16"/>
    <w:rsid w:val="007E5259"/>
    <w:rsid w:val="007E5CD5"/>
    <w:rsid w:val="007E63E3"/>
    <w:rsid w:val="007E6A5E"/>
    <w:rsid w:val="007E7342"/>
    <w:rsid w:val="007E7FF0"/>
    <w:rsid w:val="007F05B2"/>
    <w:rsid w:val="007F0F29"/>
    <w:rsid w:val="007F24BC"/>
    <w:rsid w:val="007F3199"/>
    <w:rsid w:val="007F33C0"/>
    <w:rsid w:val="007F40BB"/>
    <w:rsid w:val="007F41D4"/>
    <w:rsid w:val="007F6372"/>
    <w:rsid w:val="007F75D4"/>
    <w:rsid w:val="007F7B51"/>
    <w:rsid w:val="007F7D29"/>
    <w:rsid w:val="00800356"/>
    <w:rsid w:val="00803108"/>
    <w:rsid w:val="0080594E"/>
    <w:rsid w:val="008062BA"/>
    <w:rsid w:val="00806527"/>
    <w:rsid w:val="00807C4D"/>
    <w:rsid w:val="00811A9C"/>
    <w:rsid w:val="00811CFF"/>
    <w:rsid w:val="00813227"/>
    <w:rsid w:val="00813D48"/>
    <w:rsid w:val="00814398"/>
    <w:rsid w:val="00817310"/>
    <w:rsid w:val="008205C6"/>
    <w:rsid w:val="008206AC"/>
    <w:rsid w:val="008229EB"/>
    <w:rsid w:val="00822E94"/>
    <w:rsid w:val="00823F1E"/>
    <w:rsid w:val="00824412"/>
    <w:rsid w:val="008249EC"/>
    <w:rsid w:val="00826D63"/>
    <w:rsid w:val="00826F45"/>
    <w:rsid w:val="00831914"/>
    <w:rsid w:val="00836CF5"/>
    <w:rsid w:val="00841484"/>
    <w:rsid w:val="008416D2"/>
    <w:rsid w:val="00842C91"/>
    <w:rsid w:val="0084357A"/>
    <w:rsid w:val="00845F98"/>
    <w:rsid w:val="008471B1"/>
    <w:rsid w:val="008507D8"/>
    <w:rsid w:val="0085276F"/>
    <w:rsid w:val="00852BFD"/>
    <w:rsid w:val="00853CBE"/>
    <w:rsid w:val="008555C3"/>
    <w:rsid w:val="008556D8"/>
    <w:rsid w:val="008561F1"/>
    <w:rsid w:val="00856BBB"/>
    <w:rsid w:val="00856D83"/>
    <w:rsid w:val="00857F04"/>
    <w:rsid w:val="00861D54"/>
    <w:rsid w:val="00862A73"/>
    <w:rsid w:val="0086478D"/>
    <w:rsid w:val="008706A9"/>
    <w:rsid w:val="00872599"/>
    <w:rsid w:val="00873041"/>
    <w:rsid w:val="00873986"/>
    <w:rsid w:val="00874637"/>
    <w:rsid w:val="00874CE6"/>
    <w:rsid w:val="00875DA2"/>
    <w:rsid w:val="00880E6E"/>
    <w:rsid w:val="0088195E"/>
    <w:rsid w:val="00883D7A"/>
    <w:rsid w:val="00884042"/>
    <w:rsid w:val="0088421A"/>
    <w:rsid w:val="00884852"/>
    <w:rsid w:val="008849C6"/>
    <w:rsid w:val="0088534A"/>
    <w:rsid w:val="00885B32"/>
    <w:rsid w:val="008877C5"/>
    <w:rsid w:val="00890D1D"/>
    <w:rsid w:val="008924B2"/>
    <w:rsid w:val="00892B3B"/>
    <w:rsid w:val="008A0D74"/>
    <w:rsid w:val="008A1FBB"/>
    <w:rsid w:val="008A25BC"/>
    <w:rsid w:val="008A2F30"/>
    <w:rsid w:val="008A3758"/>
    <w:rsid w:val="008A3B25"/>
    <w:rsid w:val="008A46EE"/>
    <w:rsid w:val="008A53FC"/>
    <w:rsid w:val="008A63CD"/>
    <w:rsid w:val="008A68A4"/>
    <w:rsid w:val="008B12FB"/>
    <w:rsid w:val="008B36DD"/>
    <w:rsid w:val="008B4396"/>
    <w:rsid w:val="008B447D"/>
    <w:rsid w:val="008B5FD9"/>
    <w:rsid w:val="008B659C"/>
    <w:rsid w:val="008B6EFA"/>
    <w:rsid w:val="008B7E72"/>
    <w:rsid w:val="008C20B2"/>
    <w:rsid w:val="008C268B"/>
    <w:rsid w:val="008C7F1A"/>
    <w:rsid w:val="008D227E"/>
    <w:rsid w:val="008D4B2A"/>
    <w:rsid w:val="008D7F59"/>
    <w:rsid w:val="008E02FE"/>
    <w:rsid w:val="008E0372"/>
    <w:rsid w:val="008E0A58"/>
    <w:rsid w:val="008E189C"/>
    <w:rsid w:val="008E266E"/>
    <w:rsid w:val="008E2C69"/>
    <w:rsid w:val="008E3656"/>
    <w:rsid w:val="008E3A21"/>
    <w:rsid w:val="008E3C44"/>
    <w:rsid w:val="008E696B"/>
    <w:rsid w:val="008E6B7C"/>
    <w:rsid w:val="008F0438"/>
    <w:rsid w:val="008F1DC5"/>
    <w:rsid w:val="008F4A1B"/>
    <w:rsid w:val="00900B61"/>
    <w:rsid w:val="00900D3E"/>
    <w:rsid w:val="0090139C"/>
    <w:rsid w:val="009032D9"/>
    <w:rsid w:val="00906603"/>
    <w:rsid w:val="00906AC8"/>
    <w:rsid w:val="00907091"/>
    <w:rsid w:val="00907FC8"/>
    <w:rsid w:val="009121B8"/>
    <w:rsid w:val="00915A2D"/>
    <w:rsid w:val="00916074"/>
    <w:rsid w:val="009163ED"/>
    <w:rsid w:val="00917453"/>
    <w:rsid w:val="0092088D"/>
    <w:rsid w:val="00920E59"/>
    <w:rsid w:val="00921AA6"/>
    <w:rsid w:val="00921D56"/>
    <w:rsid w:val="00923573"/>
    <w:rsid w:val="00924065"/>
    <w:rsid w:val="00924BB0"/>
    <w:rsid w:val="009252E7"/>
    <w:rsid w:val="00925FD2"/>
    <w:rsid w:val="00926F0B"/>
    <w:rsid w:val="009301C8"/>
    <w:rsid w:val="00933C95"/>
    <w:rsid w:val="009342FC"/>
    <w:rsid w:val="00935798"/>
    <w:rsid w:val="0093619C"/>
    <w:rsid w:val="00936B58"/>
    <w:rsid w:val="00942D79"/>
    <w:rsid w:val="00942EBF"/>
    <w:rsid w:val="0094319C"/>
    <w:rsid w:val="00944615"/>
    <w:rsid w:val="00947570"/>
    <w:rsid w:val="00947969"/>
    <w:rsid w:val="00956004"/>
    <w:rsid w:val="00956E3C"/>
    <w:rsid w:val="00957B37"/>
    <w:rsid w:val="00960248"/>
    <w:rsid w:val="009621D0"/>
    <w:rsid w:val="0096231B"/>
    <w:rsid w:val="00964C98"/>
    <w:rsid w:val="00970309"/>
    <w:rsid w:val="009704B6"/>
    <w:rsid w:val="00970FF3"/>
    <w:rsid w:val="00971D77"/>
    <w:rsid w:val="00972374"/>
    <w:rsid w:val="00972C66"/>
    <w:rsid w:val="00975BB3"/>
    <w:rsid w:val="00975F4D"/>
    <w:rsid w:val="00976751"/>
    <w:rsid w:val="00977A5D"/>
    <w:rsid w:val="00981F28"/>
    <w:rsid w:val="00983ADD"/>
    <w:rsid w:val="00983B28"/>
    <w:rsid w:val="009844D6"/>
    <w:rsid w:val="009854B4"/>
    <w:rsid w:val="00985A8B"/>
    <w:rsid w:val="00986372"/>
    <w:rsid w:val="00986FE6"/>
    <w:rsid w:val="009870A1"/>
    <w:rsid w:val="00987A18"/>
    <w:rsid w:val="00990059"/>
    <w:rsid w:val="0099069A"/>
    <w:rsid w:val="0099114E"/>
    <w:rsid w:val="00991AFD"/>
    <w:rsid w:val="00992298"/>
    <w:rsid w:val="009923BD"/>
    <w:rsid w:val="009929C5"/>
    <w:rsid w:val="009940F0"/>
    <w:rsid w:val="009943E6"/>
    <w:rsid w:val="00994AA7"/>
    <w:rsid w:val="009A0B8C"/>
    <w:rsid w:val="009A1479"/>
    <w:rsid w:val="009A153A"/>
    <w:rsid w:val="009A2487"/>
    <w:rsid w:val="009A4FDE"/>
    <w:rsid w:val="009A5310"/>
    <w:rsid w:val="009A5B9E"/>
    <w:rsid w:val="009A6B9B"/>
    <w:rsid w:val="009B06CB"/>
    <w:rsid w:val="009B0DC0"/>
    <w:rsid w:val="009B1D52"/>
    <w:rsid w:val="009B2664"/>
    <w:rsid w:val="009B376A"/>
    <w:rsid w:val="009B42BB"/>
    <w:rsid w:val="009B6895"/>
    <w:rsid w:val="009B73F1"/>
    <w:rsid w:val="009B7761"/>
    <w:rsid w:val="009C070F"/>
    <w:rsid w:val="009C0DF9"/>
    <w:rsid w:val="009C1169"/>
    <w:rsid w:val="009C3E00"/>
    <w:rsid w:val="009C46A9"/>
    <w:rsid w:val="009C542E"/>
    <w:rsid w:val="009C6FF4"/>
    <w:rsid w:val="009D177A"/>
    <w:rsid w:val="009D19AB"/>
    <w:rsid w:val="009D29F9"/>
    <w:rsid w:val="009D2EBC"/>
    <w:rsid w:val="009D3C6F"/>
    <w:rsid w:val="009D5AD5"/>
    <w:rsid w:val="009D68FB"/>
    <w:rsid w:val="009D6C4C"/>
    <w:rsid w:val="009D6D25"/>
    <w:rsid w:val="009E03E4"/>
    <w:rsid w:val="009E1A2F"/>
    <w:rsid w:val="009E52F7"/>
    <w:rsid w:val="009E67B8"/>
    <w:rsid w:val="009F256C"/>
    <w:rsid w:val="009F288C"/>
    <w:rsid w:val="009F4060"/>
    <w:rsid w:val="009F46B9"/>
    <w:rsid w:val="009F5AC7"/>
    <w:rsid w:val="009F5DD3"/>
    <w:rsid w:val="009F7F24"/>
    <w:rsid w:val="00A00352"/>
    <w:rsid w:val="00A018E5"/>
    <w:rsid w:val="00A02AE0"/>
    <w:rsid w:val="00A048AE"/>
    <w:rsid w:val="00A068A7"/>
    <w:rsid w:val="00A07857"/>
    <w:rsid w:val="00A113F2"/>
    <w:rsid w:val="00A127D1"/>
    <w:rsid w:val="00A12F49"/>
    <w:rsid w:val="00A14E68"/>
    <w:rsid w:val="00A14F94"/>
    <w:rsid w:val="00A1746D"/>
    <w:rsid w:val="00A17B3E"/>
    <w:rsid w:val="00A21166"/>
    <w:rsid w:val="00A25EF3"/>
    <w:rsid w:val="00A267F2"/>
    <w:rsid w:val="00A26BEE"/>
    <w:rsid w:val="00A26E42"/>
    <w:rsid w:val="00A2723C"/>
    <w:rsid w:val="00A2760C"/>
    <w:rsid w:val="00A306F5"/>
    <w:rsid w:val="00A32633"/>
    <w:rsid w:val="00A32FC4"/>
    <w:rsid w:val="00A360C9"/>
    <w:rsid w:val="00A366E3"/>
    <w:rsid w:val="00A374B2"/>
    <w:rsid w:val="00A37F06"/>
    <w:rsid w:val="00A417A6"/>
    <w:rsid w:val="00A43630"/>
    <w:rsid w:val="00A43939"/>
    <w:rsid w:val="00A44B0C"/>
    <w:rsid w:val="00A461E0"/>
    <w:rsid w:val="00A51DCF"/>
    <w:rsid w:val="00A5289A"/>
    <w:rsid w:val="00A52E13"/>
    <w:rsid w:val="00A52E5B"/>
    <w:rsid w:val="00A542FD"/>
    <w:rsid w:val="00A54EC3"/>
    <w:rsid w:val="00A56A97"/>
    <w:rsid w:val="00A573F6"/>
    <w:rsid w:val="00A61101"/>
    <w:rsid w:val="00A629DC"/>
    <w:rsid w:val="00A6334C"/>
    <w:rsid w:val="00A63945"/>
    <w:rsid w:val="00A6459F"/>
    <w:rsid w:val="00A655E0"/>
    <w:rsid w:val="00A66A59"/>
    <w:rsid w:val="00A67B60"/>
    <w:rsid w:val="00A67B88"/>
    <w:rsid w:val="00A67EA7"/>
    <w:rsid w:val="00A71678"/>
    <w:rsid w:val="00A71772"/>
    <w:rsid w:val="00A718EB"/>
    <w:rsid w:val="00A71DDF"/>
    <w:rsid w:val="00A73C1B"/>
    <w:rsid w:val="00A7478B"/>
    <w:rsid w:val="00A77D72"/>
    <w:rsid w:val="00A806C3"/>
    <w:rsid w:val="00A80C19"/>
    <w:rsid w:val="00A8269F"/>
    <w:rsid w:val="00A82A1A"/>
    <w:rsid w:val="00A82EE2"/>
    <w:rsid w:val="00A83275"/>
    <w:rsid w:val="00A8354A"/>
    <w:rsid w:val="00A841A2"/>
    <w:rsid w:val="00A85001"/>
    <w:rsid w:val="00A85CD6"/>
    <w:rsid w:val="00A86C39"/>
    <w:rsid w:val="00A86DC1"/>
    <w:rsid w:val="00A86E50"/>
    <w:rsid w:val="00A87E95"/>
    <w:rsid w:val="00A90B1C"/>
    <w:rsid w:val="00A90FFE"/>
    <w:rsid w:val="00A92101"/>
    <w:rsid w:val="00A929F0"/>
    <w:rsid w:val="00A9455A"/>
    <w:rsid w:val="00A95844"/>
    <w:rsid w:val="00A960EF"/>
    <w:rsid w:val="00A9637E"/>
    <w:rsid w:val="00A96610"/>
    <w:rsid w:val="00A9738E"/>
    <w:rsid w:val="00A97F57"/>
    <w:rsid w:val="00AA1349"/>
    <w:rsid w:val="00AA146B"/>
    <w:rsid w:val="00AA3575"/>
    <w:rsid w:val="00AA3D48"/>
    <w:rsid w:val="00AA4055"/>
    <w:rsid w:val="00AA430E"/>
    <w:rsid w:val="00AA6DD7"/>
    <w:rsid w:val="00AA7046"/>
    <w:rsid w:val="00AA7551"/>
    <w:rsid w:val="00AA75DC"/>
    <w:rsid w:val="00AB1695"/>
    <w:rsid w:val="00AB1D20"/>
    <w:rsid w:val="00AB2F8F"/>
    <w:rsid w:val="00AB32EF"/>
    <w:rsid w:val="00AB3AC5"/>
    <w:rsid w:val="00AB68F6"/>
    <w:rsid w:val="00AB714E"/>
    <w:rsid w:val="00AC0170"/>
    <w:rsid w:val="00AC0DAF"/>
    <w:rsid w:val="00AC12CD"/>
    <w:rsid w:val="00AC3910"/>
    <w:rsid w:val="00AD032D"/>
    <w:rsid w:val="00AD1043"/>
    <w:rsid w:val="00AD1521"/>
    <w:rsid w:val="00AD39C4"/>
    <w:rsid w:val="00AD4B0B"/>
    <w:rsid w:val="00AD6312"/>
    <w:rsid w:val="00AE05DA"/>
    <w:rsid w:val="00AE0769"/>
    <w:rsid w:val="00AE233C"/>
    <w:rsid w:val="00AE4FC0"/>
    <w:rsid w:val="00AE5221"/>
    <w:rsid w:val="00AE5BB5"/>
    <w:rsid w:val="00AF1F3B"/>
    <w:rsid w:val="00AF619B"/>
    <w:rsid w:val="00AF7F31"/>
    <w:rsid w:val="00B01793"/>
    <w:rsid w:val="00B01FDF"/>
    <w:rsid w:val="00B04EE6"/>
    <w:rsid w:val="00B064EC"/>
    <w:rsid w:val="00B06AFA"/>
    <w:rsid w:val="00B06C55"/>
    <w:rsid w:val="00B102E6"/>
    <w:rsid w:val="00B11637"/>
    <w:rsid w:val="00B1332F"/>
    <w:rsid w:val="00B15CFB"/>
    <w:rsid w:val="00B16800"/>
    <w:rsid w:val="00B16CFB"/>
    <w:rsid w:val="00B17BB3"/>
    <w:rsid w:val="00B2027F"/>
    <w:rsid w:val="00B234A8"/>
    <w:rsid w:val="00B236E2"/>
    <w:rsid w:val="00B24277"/>
    <w:rsid w:val="00B254BF"/>
    <w:rsid w:val="00B256BD"/>
    <w:rsid w:val="00B26CD6"/>
    <w:rsid w:val="00B27657"/>
    <w:rsid w:val="00B34035"/>
    <w:rsid w:val="00B35BD6"/>
    <w:rsid w:val="00B36B9B"/>
    <w:rsid w:val="00B37E0D"/>
    <w:rsid w:val="00B40051"/>
    <w:rsid w:val="00B40E95"/>
    <w:rsid w:val="00B410DC"/>
    <w:rsid w:val="00B448C6"/>
    <w:rsid w:val="00B45759"/>
    <w:rsid w:val="00B45B01"/>
    <w:rsid w:val="00B466F0"/>
    <w:rsid w:val="00B473D1"/>
    <w:rsid w:val="00B50146"/>
    <w:rsid w:val="00B50AD2"/>
    <w:rsid w:val="00B52ACD"/>
    <w:rsid w:val="00B53FED"/>
    <w:rsid w:val="00B543AF"/>
    <w:rsid w:val="00B5538F"/>
    <w:rsid w:val="00B55C52"/>
    <w:rsid w:val="00B57528"/>
    <w:rsid w:val="00B61467"/>
    <w:rsid w:val="00B61D89"/>
    <w:rsid w:val="00B62180"/>
    <w:rsid w:val="00B631AE"/>
    <w:rsid w:val="00B6372B"/>
    <w:rsid w:val="00B65B1B"/>
    <w:rsid w:val="00B66185"/>
    <w:rsid w:val="00B67D7C"/>
    <w:rsid w:val="00B70168"/>
    <w:rsid w:val="00B70B7D"/>
    <w:rsid w:val="00B7161F"/>
    <w:rsid w:val="00B71633"/>
    <w:rsid w:val="00B74B38"/>
    <w:rsid w:val="00B77298"/>
    <w:rsid w:val="00B811AC"/>
    <w:rsid w:val="00B81D4C"/>
    <w:rsid w:val="00B826B9"/>
    <w:rsid w:val="00B82F5E"/>
    <w:rsid w:val="00B83F40"/>
    <w:rsid w:val="00B85D04"/>
    <w:rsid w:val="00B86284"/>
    <w:rsid w:val="00B874A6"/>
    <w:rsid w:val="00B90285"/>
    <w:rsid w:val="00B91B7E"/>
    <w:rsid w:val="00B92E5D"/>
    <w:rsid w:val="00B94337"/>
    <w:rsid w:val="00B94943"/>
    <w:rsid w:val="00B95474"/>
    <w:rsid w:val="00B9588D"/>
    <w:rsid w:val="00B961DB"/>
    <w:rsid w:val="00B97033"/>
    <w:rsid w:val="00BA0326"/>
    <w:rsid w:val="00BA0E2C"/>
    <w:rsid w:val="00BA1737"/>
    <w:rsid w:val="00BA39AD"/>
    <w:rsid w:val="00BB03E3"/>
    <w:rsid w:val="00BB0907"/>
    <w:rsid w:val="00BB4977"/>
    <w:rsid w:val="00BB6DF6"/>
    <w:rsid w:val="00BB7929"/>
    <w:rsid w:val="00BB7C58"/>
    <w:rsid w:val="00BB7CFF"/>
    <w:rsid w:val="00BC1FF3"/>
    <w:rsid w:val="00BC3736"/>
    <w:rsid w:val="00BC69FD"/>
    <w:rsid w:val="00BC750E"/>
    <w:rsid w:val="00BD0996"/>
    <w:rsid w:val="00BD116F"/>
    <w:rsid w:val="00BD558A"/>
    <w:rsid w:val="00BD595F"/>
    <w:rsid w:val="00BD66F1"/>
    <w:rsid w:val="00BE0F01"/>
    <w:rsid w:val="00BE1C1A"/>
    <w:rsid w:val="00BE1F6E"/>
    <w:rsid w:val="00BE221E"/>
    <w:rsid w:val="00BE2B9C"/>
    <w:rsid w:val="00BE39A7"/>
    <w:rsid w:val="00BE4B59"/>
    <w:rsid w:val="00BE5190"/>
    <w:rsid w:val="00BE599F"/>
    <w:rsid w:val="00BF052B"/>
    <w:rsid w:val="00BF0E52"/>
    <w:rsid w:val="00BF2514"/>
    <w:rsid w:val="00BF2B0A"/>
    <w:rsid w:val="00BF3CFE"/>
    <w:rsid w:val="00BF3D32"/>
    <w:rsid w:val="00BF41A6"/>
    <w:rsid w:val="00BF47FE"/>
    <w:rsid w:val="00BF4818"/>
    <w:rsid w:val="00BF594E"/>
    <w:rsid w:val="00C0026B"/>
    <w:rsid w:val="00C0122F"/>
    <w:rsid w:val="00C016C9"/>
    <w:rsid w:val="00C02273"/>
    <w:rsid w:val="00C0278E"/>
    <w:rsid w:val="00C0350D"/>
    <w:rsid w:val="00C03C39"/>
    <w:rsid w:val="00C04F7F"/>
    <w:rsid w:val="00C059B8"/>
    <w:rsid w:val="00C076AC"/>
    <w:rsid w:val="00C07DA3"/>
    <w:rsid w:val="00C10692"/>
    <w:rsid w:val="00C106D7"/>
    <w:rsid w:val="00C10A2C"/>
    <w:rsid w:val="00C114E3"/>
    <w:rsid w:val="00C11B9E"/>
    <w:rsid w:val="00C11F37"/>
    <w:rsid w:val="00C12539"/>
    <w:rsid w:val="00C130FB"/>
    <w:rsid w:val="00C148C6"/>
    <w:rsid w:val="00C15198"/>
    <w:rsid w:val="00C207B4"/>
    <w:rsid w:val="00C238D4"/>
    <w:rsid w:val="00C24BCE"/>
    <w:rsid w:val="00C36D56"/>
    <w:rsid w:val="00C400FB"/>
    <w:rsid w:val="00C403E0"/>
    <w:rsid w:val="00C431A0"/>
    <w:rsid w:val="00C43460"/>
    <w:rsid w:val="00C44720"/>
    <w:rsid w:val="00C468BE"/>
    <w:rsid w:val="00C46B8B"/>
    <w:rsid w:val="00C47755"/>
    <w:rsid w:val="00C5064B"/>
    <w:rsid w:val="00C50D36"/>
    <w:rsid w:val="00C53D4E"/>
    <w:rsid w:val="00C55FE8"/>
    <w:rsid w:val="00C561BC"/>
    <w:rsid w:val="00C56B2A"/>
    <w:rsid w:val="00C5795C"/>
    <w:rsid w:val="00C60B4A"/>
    <w:rsid w:val="00C61503"/>
    <w:rsid w:val="00C617A5"/>
    <w:rsid w:val="00C62D28"/>
    <w:rsid w:val="00C6366A"/>
    <w:rsid w:val="00C66CD5"/>
    <w:rsid w:val="00C66D44"/>
    <w:rsid w:val="00C67D47"/>
    <w:rsid w:val="00C702A6"/>
    <w:rsid w:val="00C702FE"/>
    <w:rsid w:val="00C738ED"/>
    <w:rsid w:val="00C7591F"/>
    <w:rsid w:val="00C761B2"/>
    <w:rsid w:val="00C76AA9"/>
    <w:rsid w:val="00C82863"/>
    <w:rsid w:val="00C84F08"/>
    <w:rsid w:val="00C85076"/>
    <w:rsid w:val="00C90334"/>
    <w:rsid w:val="00C91759"/>
    <w:rsid w:val="00C9225D"/>
    <w:rsid w:val="00C946FC"/>
    <w:rsid w:val="00C94F38"/>
    <w:rsid w:val="00C951B1"/>
    <w:rsid w:val="00C96D25"/>
    <w:rsid w:val="00C97608"/>
    <w:rsid w:val="00C9798F"/>
    <w:rsid w:val="00CA0103"/>
    <w:rsid w:val="00CA0662"/>
    <w:rsid w:val="00CA11A3"/>
    <w:rsid w:val="00CA1D08"/>
    <w:rsid w:val="00CA1E59"/>
    <w:rsid w:val="00CA3580"/>
    <w:rsid w:val="00CA3E48"/>
    <w:rsid w:val="00CA52C9"/>
    <w:rsid w:val="00CA6427"/>
    <w:rsid w:val="00CB2749"/>
    <w:rsid w:val="00CB44C9"/>
    <w:rsid w:val="00CB5FC6"/>
    <w:rsid w:val="00CB6032"/>
    <w:rsid w:val="00CB752A"/>
    <w:rsid w:val="00CC0C09"/>
    <w:rsid w:val="00CC3987"/>
    <w:rsid w:val="00CC4332"/>
    <w:rsid w:val="00CC4439"/>
    <w:rsid w:val="00CC473E"/>
    <w:rsid w:val="00CC4E43"/>
    <w:rsid w:val="00CC5C05"/>
    <w:rsid w:val="00CD1D0E"/>
    <w:rsid w:val="00CD22E6"/>
    <w:rsid w:val="00CD2A2E"/>
    <w:rsid w:val="00CD37B1"/>
    <w:rsid w:val="00CD3EAB"/>
    <w:rsid w:val="00CD5056"/>
    <w:rsid w:val="00CD51BD"/>
    <w:rsid w:val="00CD60AA"/>
    <w:rsid w:val="00CD61EB"/>
    <w:rsid w:val="00CD710D"/>
    <w:rsid w:val="00CE39FF"/>
    <w:rsid w:val="00CE4AE7"/>
    <w:rsid w:val="00CE5BFA"/>
    <w:rsid w:val="00CE7C34"/>
    <w:rsid w:val="00CF0648"/>
    <w:rsid w:val="00CF235D"/>
    <w:rsid w:val="00CF6509"/>
    <w:rsid w:val="00CF6598"/>
    <w:rsid w:val="00D007C2"/>
    <w:rsid w:val="00D008DF"/>
    <w:rsid w:val="00D00D57"/>
    <w:rsid w:val="00D01D15"/>
    <w:rsid w:val="00D021F5"/>
    <w:rsid w:val="00D03C2D"/>
    <w:rsid w:val="00D05CC3"/>
    <w:rsid w:val="00D0683C"/>
    <w:rsid w:val="00D10710"/>
    <w:rsid w:val="00D12AAC"/>
    <w:rsid w:val="00D15473"/>
    <w:rsid w:val="00D15C41"/>
    <w:rsid w:val="00D16969"/>
    <w:rsid w:val="00D16BAF"/>
    <w:rsid w:val="00D2177C"/>
    <w:rsid w:val="00D224C1"/>
    <w:rsid w:val="00D24F8B"/>
    <w:rsid w:val="00D25727"/>
    <w:rsid w:val="00D25CB9"/>
    <w:rsid w:val="00D27832"/>
    <w:rsid w:val="00D30E6B"/>
    <w:rsid w:val="00D33C9B"/>
    <w:rsid w:val="00D34771"/>
    <w:rsid w:val="00D347E3"/>
    <w:rsid w:val="00D34A10"/>
    <w:rsid w:val="00D36076"/>
    <w:rsid w:val="00D409B2"/>
    <w:rsid w:val="00D429BA"/>
    <w:rsid w:val="00D46435"/>
    <w:rsid w:val="00D47A6C"/>
    <w:rsid w:val="00D47AD0"/>
    <w:rsid w:val="00D47EED"/>
    <w:rsid w:val="00D519ED"/>
    <w:rsid w:val="00D53E4A"/>
    <w:rsid w:val="00D5526B"/>
    <w:rsid w:val="00D56CF9"/>
    <w:rsid w:val="00D5715C"/>
    <w:rsid w:val="00D6384A"/>
    <w:rsid w:val="00D638AC"/>
    <w:rsid w:val="00D65168"/>
    <w:rsid w:val="00D676E0"/>
    <w:rsid w:val="00D67EE9"/>
    <w:rsid w:val="00D73C20"/>
    <w:rsid w:val="00D74BE0"/>
    <w:rsid w:val="00D766FF"/>
    <w:rsid w:val="00D76BA0"/>
    <w:rsid w:val="00D77973"/>
    <w:rsid w:val="00D77ADA"/>
    <w:rsid w:val="00D80349"/>
    <w:rsid w:val="00D80A22"/>
    <w:rsid w:val="00D81169"/>
    <w:rsid w:val="00D8118C"/>
    <w:rsid w:val="00D83857"/>
    <w:rsid w:val="00D845B8"/>
    <w:rsid w:val="00D84D05"/>
    <w:rsid w:val="00D8534C"/>
    <w:rsid w:val="00D85E45"/>
    <w:rsid w:val="00D86B34"/>
    <w:rsid w:val="00D919D5"/>
    <w:rsid w:val="00D92F45"/>
    <w:rsid w:val="00D9451C"/>
    <w:rsid w:val="00D95E93"/>
    <w:rsid w:val="00D975FE"/>
    <w:rsid w:val="00D97BF4"/>
    <w:rsid w:val="00DA05CF"/>
    <w:rsid w:val="00DA2A6A"/>
    <w:rsid w:val="00DA4119"/>
    <w:rsid w:val="00DA5770"/>
    <w:rsid w:val="00DA5EFB"/>
    <w:rsid w:val="00DA74D6"/>
    <w:rsid w:val="00DA7C6F"/>
    <w:rsid w:val="00DB0E56"/>
    <w:rsid w:val="00DB1A74"/>
    <w:rsid w:val="00DB1B1B"/>
    <w:rsid w:val="00DB2404"/>
    <w:rsid w:val="00DB285C"/>
    <w:rsid w:val="00DB585B"/>
    <w:rsid w:val="00DC30AE"/>
    <w:rsid w:val="00DC6746"/>
    <w:rsid w:val="00DC68CC"/>
    <w:rsid w:val="00DC7BFA"/>
    <w:rsid w:val="00DD14C1"/>
    <w:rsid w:val="00DD43A9"/>
    <w:rsid w:val="00DD4A41"/>
    <w:rsid w:val="00DD4D97"/>
    <w:rsid w:val="00DD5B2D"/>
    <w:rsid w:val="00DD5D48"/>
    <w:rsid w:val="00DD7645"/>
    <w:rsid w:val="00DE016D"/>
    <w:rsid w:val="00DE01E1"/>
    <w:rsid w:val="00DE2C2B"/>
    <w:rsid w:val="00DE2FDD"/>
    <w:rsid w:val="00DE5EFA"/>
    <w:rsid w:val="00DE6016"/>
    <w:rsid w:val="00DE62AF"/>
    <w:rsid w:val="00DE78A6"/>
    <w:rsid w:val="00DF1AD6"/>
    <w:rsid w:val="00DF1F45"/>
    <w:rsid w:val="00DF305B"/>
    <w:rsid w:val="00DF390C"/>
    <w:rsid w:val="00DF49ED"/>
    <w:rsid w:val="00DF6A8C"/>
    <w:rsid w:val="00DF7391"/>
    <w:rsid w:val="00E00A90"/>
    <w:rsid w:val="00E01637"/>
    <w:rsid w:val="00E01F1F"/>
    <w:rsid w:val="00E02366"/>
    <w:rsid w:val="00E035AC"/>
    <w:rsid w:val="00E075FD"/>
    <w:rsid w:val="00E07AA7"/>
    <w:rsid w:val="00E07B20"/>
    <w:rsid w:val="00E10AC4"/>
    <w:rsid w:val="00E12096"/>
    <w:rsid w:val="00E12344"/>
    <w:rsid w:val="00E134BF"/>
    <w:rsid w:val="00E14E91"/>
    <w:rsid w:val="00E16EA5"/>
    <w:rsid w:val="00E21233"/>
    <w:rsid w:val="00E21E6A"/>
    <w:rsid w:val="00E22A38"/>
    <w:rsid w:val="00E22EE7"/>
    <w:rsid w:val="00E24D31"/>
    <w:rsid w:val="00E25BBA"/>
    <w:rsid w:val="00E2783F"/>
    <w:rsid w:val="00E30038"/>
    <w:rsid w:val="00E30575"/>
    <w:rsid w:val="00E3411F"/>
    <w:rsid w:val="00E34FEF"/>
    <w:rsid w:val="00E36022"/>
    <w:rsid w:val="00E37621"/>
    <w:rsid w:val="00E4094F"/>
    <w:rsid w:val="00E43B91"/>
    <w:rsid w:val="00E43D42"/>
    <w:rsid w:val="00E442F4"/>
    <w:rsid w:val="00E45699"/>
    <w:rsid w:val="00E47543"/>
    <w:rsid w:val="00E503F3"/>
    <w:rsid w:val="00E513F3"/>
    <w:rsid w:val="00E53DB3"/>
    <w:rsid w:val="00E55846"/>
    <w:rsid w:val="00E56289"/>
    <w:rsid w:val="00E56A85"/>
    <w:rsid w:val="00E6114D"/>
    <w:rsid w:val="00E61C50"/>
    <w:rsid w:val="00E6331F"/>
    <w:rsid w:val="00E63E24"/>
    <w:rsid w:val="00E65BCE"/>
    <w:rsid w:val="00E65FEE"/>
    <w:rsid w:val="00E660FC"/>
    <w:rsid w:val="00E66AC4"/>
    <w:rsid w:val="00E67857"/>
    <w:rsid w:val="00E67986"/>
    <w:rsid w:val="00E70ECE"/>
    <w:rsid w:val="00E71822"/>
    <w:rsid w:val="00E72D9A"/>
    <w:rsid w:val="00E73312"/>
    <w:rsid w:val="00E73557"/>
    <w:rsid w:val="00E74CF3"/>
    <w:rsid w:val="00E7671C"/>
    <w:rsid w:val="00E77F39"/>
    <w:rsid w:val="00E8030A"/>
    <w:rsid w:val="00E81893"/>
    <w:rsid w:val="00E820D4"/>
    <w:rsid w:val="00E82ED5"/>
    <w:rsid w:val="00E83DD1"/>
    <w:rsid w:val="00E84EC1"/>
    <w:rsid w:val="00E856B7"/>
    <w:rsid w:val="00E878B4"/>
    <w:rsid w:val="00E91621"/>
    <w:rsid w:val="00E929FC"/>
    <w:rsid w:val="00E95576"/>
    <w:rsid w:val="00E95B33"/>
    <w:rsid w:val="00E96C6E"/>
    <w:rsid w:val="00EA1623"/>
    <w:rsid w:val="00EA34BB"/>
    <w:rsid w:val="00EA3F20"/>
    <w:rsid w:val="00EA6D2B"/>
    <w:rsid w:val="00EA7CD6"/>
    <w:rsid w:val="00EB0004"/>
    <w:rsid w:val="00EB0AE4"/>
    <w:rsid w:val="00EB0B9A"/>
    <w:rsid w:val="00EB0C51"/>
    <w:rsid w:val="00EB0FE8"/>
    <w:rsid w:val="00EB1952"/>
    <w:rsid w:val="00EB1B8A"/>
    <w:rsid w:val="00EB206A"/>
    <w:rsid w:val="00EB5182"/>
    <w:rsid w:val="00EB5271"/>
    <w:rsid w:val="00EB57E2"/>
    <w:rsid w:val="00EB5ADF"/>
    <w:rsid w:val="00EB7C81"/>
    <w:rsid w:val="00EC00CC"/>
    <w:rsid w:val="00EC179B"/>
    <w:rsid w:val="00EC2720"/>
    <w:rsid w:val="00EC340A"/>
    <w:rsid w:val="00EC5574"/>
    <w:rsid w:val="00EC6FBA"/>
    <w:rsid w:val="00ED13F6"/>
    <w:rsid w:val="00ED2D9E"/>
    <w:rsid w:val="00ED3261"/>
    <w:rsid w:val="00ED425C"/>
    <w:rsid w:val="00ED42CD"/>
    <w:rsid w:val="00ED791E"/>
    <w:rsid w:val="00EE01A0"/>
    <w:rsid w:val="00EE0A6C"/>
    <w:rsid w:val="00EE22C1"/>
    <w:rsid w:val="00EE340C"/>
    <w:rsid w:val="00EE3A90"/>
    <w:rsid w:val="00EE5CF8"/>
    <w:rsid w:val="00EF0838"/>
    <w:rsid w:val="00EF1369"/>
    <w:rsid w:val="00EF3DE0"/>
    <w:rsid w:val="00EF4C1F"/>
    <w:rsid w:val="00EF4EE5"/>
    <w:rsid w:val="00EF6E1C"/>
    <w:rsid w:val="00F0072F"/>
    <w:rsid w:val="00F015C0"/>
    <w:rsid w:val="00F02477"/>
    <w:rsid w:val="00F02E84"/>
    <w:rsid w:val="00F034EA"/>
    <w:rsid w:val="00F03B66"/>
    <w:rsid w:val="00F0470E"/>
    <w:rsid w:val="00F0480A"/>
    <w:rsid w:val="00F0545C"/>
    <w:rsid w:val="00F05716"/>
    <w:rsid w:val="00F05DD2"/>
    <w:rsid w:val="00F10140"/>
    <w:rsid w:val="00F112C4"/>
    <w:rsid w:val="00F11C96"/>
    <w:rsid w:val="00F12A3A"/>
    <w:rsid w:val="00F131BA"/>
    <w:rsid w:val="00F14411"/>
    <w:rsid w:val="00F15D6E"/>
    <w:rsid w:val="00F16A49"/>
    <w:rsid w:val="00F16AF9"/>
    <w:rsid w:val="00F1715E"/>
    <w:rsid w:val="00F17898"/>
    <w:rsid w:val="00F178E1"/>
    <w:rsid w:val="00F2029B"/>
    <w:rsid w:val="00F2043E"/>
    <w:rsid w:val="00F22293"/>
    <w:rsid w:val="00F22A3D"/>
    <w:rsid w:val="00F22E64"/>
    <w:rsid w:val="00F237D4"/>
    <w:rsid w:val="00F24DF4"/>
    <w:rsid w:val="00F253A7"/>
    <w:rsid w:val="00F260F9"/>
    <w:rsid w:val="00F27DF5"/>
    <w:rsid w:val="00F30519"/>
    <w:rsid w:val="00F30F08"/>
    <w:rsid w:val="00F3493C"/>
    <w:rsid w:val="00F3501F"/>
    <w:rsid w:val="00F37119"/>
    <w:rsid w:val="00F37272"/>
    <w:rsid w:val="00F40446"/>
    <w:rsid w:val="00F44B83"/>
    <w:rsid w:val="00F47663"/>
    <w:rsid w:val="00F47C8B"/>
    <w:rsid w:val="00F51172"/>
    <w:rsid w:val="00F531FF"/>
    <w:rsid w:val="00F53CB3"/>
    <w:rsid w:val="00F54FA6"/>
    <w:rsid w:val="00F567F6"/>
    <w:rsid w:val="00F610B7"/>
    <w:rsid w:val="00F61908"/>
    <w:rsid w:val="00F634A0"/>
    <w:rsid w:val="00F63929"/>
    <w:rsid w:val="00F6562C"/>
    <w:rsid w:val="00F6708C"/>
    <w:rsid w:val="00F70799"/>
    <w:rsid w:val="00F70C57"/>
    <w:rsid w:val="00F71C04"/>
    <w:rsid w:val="00F747A0"/>
    <w:rsid w:val="00F74EAA"/>
    <w:rsid w:val="00F75E7C"/>
    <w:rsid w:val="00F76A35"/>
    <w:rsid w:val="00F80AA9"/>
    <w:rsid w:val="00F83B65"/>
    <w:rsid w:val="00F84E01"/>
    <w:rsid w:val="00F851A1"/>
    <w:rsid w:val="00F86ED0"/>
    <w:rsid w:val="00F911EF"/>
    <w:rsid w:val="00F91C1C"/>
    <w:rsid w:val="00F920F1"/>
    <w:rsid w:val="00F9268A"/>
    <w:rsid w:val="00F9336F"/>
    <w:rsid w:val="00F9358D"/>
    <w:rsid w:val="00F93A76"/>
    <w:rsid w:val="00F95A93"/>
    <w:rsid w:val="00F95D08"/>
    <w:rsid w:val="00F95F8A"/>
    <w:rsid w:val="00F967A5"/>
    <w:rsid w:val="00F97C67"/>
    <w:rsid w:val="00FA026A"/>
    <w:rsid w:val="00FA1DEF"/>
    <w:rsid w:val="00FA1EFF"/>
    <w:rsid w:val="00FA3FA4"/>
    <w:rsid w:val="00FA3FC6"/>
    <w:rsid w:val="00FA4367"/>
    <w:rsid w:val="00FA5742"/>
    <w:rsid w:val="00FA6CB7"/>
    <w:rsid w:val="00FA779A"/>
    <w:rsid w:val="00FA7C2D"/>
    <w:rsid w:val="00FB0778"/>
    <w:rsid w:val="00FB30DE"/>
    <w:rsid w:val="00FB3440"/>
    <w:rsid w:val="00FB5280"/>
    <w:rsid w:val="00FB5682"/>
    <w:rsid w:val="00FB599F"/>
    <w:rsid w:val="00FB5A04"/>
    <w:rsid w:val="00FB7E29"/>
    <w:rsid w:val="00FB7E9F"/>
    <w:rsid w:val="00FC1A4B"/>
    <w:rsid w:val="00FC2817"/>
    <w:rsid w:val="00FC2E84"/>
    <w:rsid w:val="00FC3B5A"/>
    <w:rsid w:val="00FC6AB7"/>
    <w:rsid w:val="00FC7388"/>
    <w:rsid w:val="00FD049A"/>
    <w:rsid w:val="00FD0F7E"/>
    <w:rsid w:val="00FD2063"/>
    <w:rsid w:val="00FD3BF3"/>
    <w:rsid w:val="00FD787E"/>
    <w:rsid w:val="00FE0708"/>
    <w:rsid w:val="00FE0BC8"/>
    <w:rsid w:val="00FE4016"/>
    <w:rsid w:val="00FE402C"/>
    <w:rsid w:val="00FE4510"/>
    <w:rsid w:val="00FE4F29"/>
    <w:rsid w:val="00FF0B9F"/>
    <w:rsid w:val="00FF243A"/>
    <w:rsid w:val="00FF304D"/>
    <w:rsid w:val="00FF33A6"/>
    <w:rsid w:val="00FF3539"/>
    <w:rsid w:val="00FF3C65"/>
    <w:rsid w:val="00FF4CB5"/>
    <w:rsid w:val="00FF52B8"/>
    <w:rsid w:val="00FF558A"/>
    <w:rsid w:val="00FF5828"/>
    <w:rsid w:val="00FF6A7F"/>
    <w:rsid w:val="00FF6EB0"/>
    <w:rsid w:val="00FF7A0C"/>
    <w:rsid w:val="00FF7FD8"/>
    <w:rsid w:val="01578E6D"/>
    <w:rsid w:val="0183D943"/>
    <w:rsid w:val="01922ABF"/>
    <w:rsid w:val="01AE1354"/>
    <w:rsid w:val="01C51709"/>
    <w:rsid w:val="03528D07"/>
    <w:rsid w:val="03B84B62"/>
    <w:rsid w:val="0417AADB"/>
    <w:rsid w:val="04456A7F"/>
    <w:rsid w:val="05028713"/>
    <w:rsid w:val="05454EEC"/>
    <w:rsid w:val="05A5B18A"/>
    <w:rsid w:val="06201D7A"/>
    <w:rsid w:val="0784D6C3"/>
    <w:rsid w:val="07BD0BDB"/>
    <w:rsid w:val="0899B716"/>
    <w:rsid w:val="08B66842"/>
    <w:rsid w:val="0994ECC9"/>
    <w:rsid w:val="0A29DEDB"/>
    <w:rsid w:val="0D5C3615"/>
    <w:rsid w:val="0D750A6A"/>
    <w:rsid w:val="0E7C65E0"/>
    <w:rsid w:val="0F135863"/>
    <w:rsid w:val="113527A3"/>
    <w:rsid w:val="116598E9"/>
    <w:rsid w:val="12B42DA3"/>
    <w:rsid w:val="14FBDC0E"/>
    <w:rsid w:val="152E0041"/>
    <w:rsid w:val="15A40E1A"/>
    <w:rsid w:val="15A6A7F2"/>
    <w:rsid w:val="17C308D9"/>
    <w:rsid w:val="181BD368"/>
    <w:rsid w:val="19CB47CF"/>
    <w:rsid w:val="1A428D31"/>
    <w:rsid w:val="1B1E3850"/>
    <w:rsid w:val="1B7E7D24"/>
    <w:rsid w:val="1BD1A1D8"/>
    <w:rsid w:val="1D40D48F"/>
    <w:rsid w:val="1D7902B0"/>
    <w:rsid w:val="1E4D1B1A"/>
    <w:rsid w:val="1EB478A7"/>
    <w:rsid w:val="1EFF4BBB"/>
    <w:rsid w:val="1FCCB20B"/>
    <w:rsid w:val="213D7F03"/>
    <w:rsid w:val="2143973F"/>
    <w:rsid w:val="23E81304"/>
    <w:rsid w:val="243CE83A"/>
    <w:rsid w:val="2486219E"/>
    <w:rsid w:val="25006A6E"/>
    <w:rsid w:val="258D1149"/>
    <w:rsid w:val="25A771E2"/>
    <w:rsid w:val="26AFC950"/>
    <w:rsid w:val="2800BF49"/>
    <w:rsid w:val="29FCC6E9"/>
    <w:rsid w:val="29FDCF6A"/>
    <w:rsid w:val="2CE13E1B"/>
    <w:rsid w:val="2DE501DF"/>
    <w:rsid w:val="2EAA836B"/>
    <w:rsid w:val="2F7BA169"/>
    <w:rsid w:val="31CAE267"/>
    <w:rsid w:val="31F51B28"/>
    <w:rsid w:val="359A605F"/>
    <w:rsid w:val="36D8BD93"/>
    <w:rsid w:val="375EC90D"/>
    <w:rsid w:val="383F15D3"/>
    <w:rsid w:val="38FE8E90"/>
    <w:rsid w:val="3B0A9DD1"/>
    <w:rsid w:val="3B16E97C"/>
    <w:rsid w:val="3C315694"/>
    <w:rsid w:val="3C9C08EF"/>
    <w:rsid w:val="3CE436E0"/>
    <w:rsid w:val="3E69AC10"/>
    <w:rsid w:val="3EB0B7FB"/>
    <w:rsid w:val="3EBBCF64"/>
    <w:rsid w:val="3ECDB09F"/>
    <w:rsid w:val="3EDBA2FE"/>
    <w:rsid w:val="3F14EBF5"/>
    <w:rsid w:val="40FFE641"/>
    <w:rsid w:val="412EFF1B"/>
    <w:rsid w:val="4179A91A"/>
    <w:rsid w:val="41B52869"/>
    <w:rsid w:val="43AA4217"/>
    <w:rsid w:val="4420F954"/>
    <w:rsid w:val="47076160"/>
    <w:rsid w:val="48E233FA"/>
    <w:rsid w:val="49AF6030"/>
    <w:rsid w:val="49BA32CE"/>
    <w:rsid w:val="49FC5B01"/>
    <w:rsid w:val="4A4F462A"/>
    <w:rsid w:val="4A52FD28"/>
    <w:rsid w:val="4A7CB8A5"/>
    <w:rsid w:val="4AAF1730"/>
    <w:rsid w:val="4B1A4146"/>
    <w:rsid w:val="4B7DF730"/>
    <w:rsid w:val="4B86A18F"/>
    <w:rsid w:val="4C8B9338"/>
    <w:rsid w:val="4D4485E0"/>
    <w:rsid w:val="4E6FEF8C"/>
    <w:rsid w:val="4F135641"/>
    <w:rsid w:val="50193017"/>
    <w:rsid w:val="5170827E"/>
    <w:rsid w:val="51C71D76"/>
    <w:rsid w:val="5249C936"/>
    <w:rsid w:val="5328EF95"/>
    <w:rsid w:val="54262109"/>
    <w:rsid w:val="54A1D0EF"/>
    <w:rsid w:val="554B55E3"/>
    <w:rsid w:val="554C01C6"/>
    <w:rsid w:val="55A135FE"/>
    <w:rsid w:val="55BC11D4"/>
    <w:rsid w:val="576C0FDA"/>
    <w:rsid w:val="5771A24C"/>
    <w:rsid w:val="57EBFA3C"/>
    <w:rsid w:val="58E40784"/>
    <w:rsid w:val="59F33A16"/>
    <w:rsid w:val="5A314235"/>
    <w:rsid w:val="5BD77043"/>
    <w:rsid w:val="5CB0E00F"/>
    <w:rsid w:val="5D082B9C"/>
    <w:rsid w:val="5D32F587"/>
    <w:rsid w:val="5D95F0E9"/>
    <w:rsid w:val="5D96B3A3"/>
    <w:rsid w:val="5DF38525"/>
    <w:rsid w:val="5EFED56A"/>
    <w:rsid w:val="5F4B091F"/>
    <w:rsid w:val="600A47F7"/>
    <w:rsid w:val="601BED36"/>
    <w:rsid w:val="60A761CE"/>
    <w:rsid w:val="61087D00"/>
    <w:rsid w:val="61428652"/>
    <w:rsid w:val="6230A7EC"/>
    <w:rsid w:val="62989BBB"/>
    <w:rsid w:val="631F9A91"/>
    <w:rsid w:val="6385D21C"/>
    <w:rsid w:val="63915801"/>
    <w:rsid w:val="66263CC9"/>
    <w:rsid w:val="67344C0B"/>
    <w:rsid w:val="68C26E27"/>
    <w:rsid w:val="6998AD97"/>
    <w:rsid w:val="6A0B4E02"/>
    <w:rsid w:val="6AAD75B3"/>
    <w:rsid w:val="6B9C63EE"/>
    <w:rsid w:val="6BD945A1"/>
    <w:rsid w:val="6C22756B"/>
    <w:rsid w:val="6C4739ED"/>
    <w:rsid w:val="6C87D445"/>
    <w:rsid w:val="6D2DF4AF"/>
    <w:rsid w:val="6E58A9A4"/>
    <w:rsid w:val="6F04245B"/>
    <w:rsid w:val="6F064DBD"/>
    <w:rsid w:val="700964E3"/>
    <w:rsid w:val="705EC303"/>
    <w:rsid w:val="70B77850"/>
    <w:rsid w:val="70C8EB2D"/>
    <w:rsid w:val="72FF414C"/>
    <w:rsid w:val="73B7F24B"/>
    <w:rsid w:val="75FE6635"/>
    <w:rsid w:val="77496ADF"/>
    <w:rsid w:val="777DD703"/>
    <w:rsid w:val="779B8166"/>
    <w:rsid w:val="77B73FFD"/>
    <w:rsid w:val="7892BF80"/>
    <w:rsid w:val="794347B9"/>
    <w:rsid w:val="79E80B8D"/>
    <w:rsid w:val="7A8D3BE4"/>
    <w:rsid w:val="7CA72393"/>
    <w:rsid w:val="7D8D223A"/>
    <w:rsid w:val="7EC7DD32"/>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6AD864"/>
  <w15:chartTrackingRefBased/>
  <w15:docId w15:val="{E5A2A37D-775B-41C0-8DDA-D414E168E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0" w:defSemiHidden="0" w:defUnhideWhenUsed="0" w:defQFormat="0" w:count="371">
    <w:lsdException w:name="Normal" w:qFormat="1"/>
    <w:lsdException w:name="heading 2" w:semiHidden="1" w:unhideWhenUsed="1"/>
    <w:lsdException w:name="heading 3" w:semiHidden="1" w:unhideWhenUsed="1"/>
    <w:lsdException w:name="heading 4" w:semiHidden="1" w:uiPriority="90"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39" w:unhideWhenUsed="1"/>
    <w:lsdException w:name="index 2" w:semiHidden="1" w:uiPriority="39" w:unhideWhenUsed="1"/>
    <w:lsdException w:name="index 3" w:semiHidden="1" w:uiPriority="39" w:unhideWhenUsed="1"/>
    <w:lsdException w:name="index 4" w:semiHidden="1" w:uiPriority="39" w:unhideWhenUsed="1"/>
    <w:lsdException w:name="index 5" w:semiHidden="1" w:uiPriority="39" w:unhideWhenUsed="1"/>
    <w:lsdException w:name="index 6" w:semiHidden="1" w:uiPriority="39" w:unhideWhenUsed="1"/>
    <w:lsdException w:name="index 7" w:semiHidden="1" w:uiPriority="39" w:unhideWhenUsed="1"/>
    <w:lsdException w:name="index 8" w:semiHidden="1" w:uiPriority="39" w:unhideWhenUsed="1"/>
    <w:lsdException w:name="index 9" w:semiHidden="1" w:uiPriority="3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3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8" w:unhideWhenUsed="1"/>
    <w:lsdException w:name="endnote text" w:semiHidden="1" w:uiPriority="99" w:unhideWhenUsed="1"/>
    <w:lsdException w:name="table of authorities" w:semiHidden="1" w:uiPriority="99" w:unhideWhenUsed="1"/>
    <w:lsdException w:name="macro" w:semiHidden="1" w:uiPriority="39" w:unhideWhenUsed="1"/>
    <w:lsdException w:name="toa heading" w:semiHidden="1" w:uiPriority="99" w:unhideWhenUsed="1"/>
    <w:lsdException w:name="List" w:semiHidden="1" w:uiPriority="3" w:unhideWhenUsed="1"/>
    <w:lsdException w:name="List Bullet" w:semiHidden="1" w:uiPriority="3" w:unhideWhenUsed="1"/>
    <w:lsdException w:name="List Number" w:semiHidden="1" w:unhideWhenUsed="1"/>
    <w:lsdException w:name="List 2" w:semiHidden="1" w:uiPriority="3" w:unhideWhenUsed="1"/>
    <w:lsdException w:name="List 3" w:semiHidden="1" w:uiPriority="3" w:unhideWhenUsed="1"/>
    <w:lsdException w:name="List 4" w:semiHidden="1" w:uiPriority="3" w:unhideWhenUsed="1"/>
    <w:lsdException w:name="List 5" w:semiHidden="1" w:uiPriority="3" w:unhideWhenUsed="1"/>
    <w:lsdException w:name="List Bullet 2" w:semiHidden="1" w:unhideWhenUsed="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3" w:unhideWhenUsed="1"/>
    <w:lsdException w:name="List Number 3" w:semiHidden="1" w:uiPriority="3" w:unhideWhenUsed="1"/>
    <w:lsdException w:name="List Number 4" w:semiHidden="1" w:unhideWhenUsed="1"/>
    <w:lsdException w:name="List Number 5" w:semiHidden="1" w:uiPriority="3" w:unhideWhenUsed="1"/>
    <w:lsdException w:name="Title" w:uiPriority="14"/>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3" w:unhideWhenUsed="1"/>
    <w:lsdException w:name="List Continue 2" w:semiHidden="1" w:uiPriority="3" w:unhideWhenUsed="1"/>
    <w:lsdException w:name="List Continue 3" w:semiHidden="1" w:uiPriority="3" w:unhideWhenUsed="1"/>
    <w:lsdException w:name="List Continue 4" w:semiHidden="1" w:uiPriority="3" w:unhideWhenUsed="1"/>
    <w:lsdException w:name="List Continue 5" w:semiHidden="1" w:uiPriority="3" w:unhideWhenUsed="1"/>
    <w:lsdException w:name="Message Header" w:semiHidden="1" w:uiPriority="99" w:unhideWhenUsed="1"/>
    <w:lsdException w:name="Subtitle" w:uiPriority="15"/>
    <w:lsdException w:name="Salutation" w:semiHidden="1" w:unhideWhenUsed="1"/>
    <w:lsdException w:name="Date" w:semiHidden="1" w:uiPriority="1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uiPriority="69"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39" w:unhideWhenUsed="1"/>
    <w:lsdException w:name="HTML Address" w:semiHidden="1" w:uiPriority="39" w:unhideWhenUsed="1"/>
    <w:lsdException w:name="HTML Cite" w:semiHidden="1" w:uiPriority="39" w:unhideWhenUsed="1"/>
    <w:lsdException w:name="HTML Code" w:semiHidden="1" w:uiPriority="39" w:unhideWhenUsed="1"/>
    <w:lsdException w:name="HTML Definition" w:semiHidden="1" w:uiPriority="39" w:unhideWhenUsed="1"/>
    <w:lsdException w:name="HTML Keyboard" w:semiHidden="1" w:uiPriority="39" w:unhideWhenUsed="1"/>
    <w:lsdException w:name="HTML Preformatted" w:semiHidden="1" w:uiPriority="39" w:unhideWhenUsed="1"/>
    <w:lsdException w:name="HTML Sample" w:semiHidden="1" w:uiPriority="39" w:unhideWhenUsed="1"/>
    <w:lsdException w:name="HTML Typewriter" w:semiHidden="1" w:uiPriority="39" w:unhideWhenUsed="1"/>
    <w:lsdException w:name="HTML Variable" w:semiHidden="1" w:uiPriority="3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2817"/>
    <w:pPr>
      <w:spacing w:before="240" w:after="240"/>
    </w:pPr>
    <w:rPr>
      <w:rFonts w:ascii="EC Square Sans Pro" w:hAnsi="EC Square Sans Pro"/>
      <w:sz w:val="20"/>
    </w:rPr>
  </w:style>
  <w:style w:type="paragraph" w:styleId="Heading1">
    <w:name w:val="heading 1"/>
    <w:aliases w:val="Hoofdstuk"/>
    <w:basedOn w:val="Normal"/>
    <w:next w:val="Normal"/>
    <w:link w:val="Heading1Char"/>
    <w:rsid w:val="00BC750E"/>
    <w:pPr>
      <w:keepNext/>
      <w:numPr>
        <w:numId w:val="8"/>
      </w:numPr>
      <w:spacing w:before="360" w:after="120" w:line="240" w:lineRule="auto"/>
      <w:jc w:val="both"/>
      <w:outlineLvl w:val="0"/>
    </w:pPr>
    <w:rPr>
      <w:rFonts w:ascii="Times New Roman" w:eastAsiaTheme="majorEastAsia" w:hAnsi="Times New Roman" w:cs="Times New Roman"/>
      <w:b/>
      <w:bCs/>
      <w:smallCaps/>
      <w:sz w:val="24"/>
      <w:szCs w:val="28"/>
      <w:lang w:val="en-GB"/>
    </w:rPr>
  </w:style>
  <w:style w:type="paragraph" w:styleId="Heading2">
    <w:name w:val="heading 2"/>
    <w:aliases w:val="Paragraaf"/>
    <w:basedOn w:val="Normal"/>
    <w:next w:val="Normal"/>
    <w:link w:val="Heading2Char"/>
    <w:unhideWhenUsed/>
    <w:rsid w:val="00BC750E"/>
    <w:pPr>
      <w:keepNext/>
      <w:numPr>
        <w:ilvl w:val="1"/>
        <w:numId w:val="8"/>
      </w:numPr>
      <w:spacing w:before="120" w:after="120" w:line="240" w:lineRule="auto"/>
      <w:jc w:val="both"/>
      <w:outlineLvl w:val="1"/>
    </w:pPr>
    <w:rPr>
      <w:rFonts w:ascii="Times New Roman" w:eastAsiaTheme="majorEastAsia" w:hAnsi="Times New Roman" w:cs="Times New Roman"/>
      <w:b/>
      <w:bCs/>
      <w:sz w:val="24"/>
      <w:szCs w:val="26"/>
      <w:lang w:val="en-GB"/>
    </w:rPr>
  </w:style>
  <w:style w:type="paragraph" w:styleId="Heading3">
    <w:name w:val="heading 3"/>
    <w:basedOn w:val="Normal"/>
    <w:next w:val="Normal"/>
    <w:link w:val="Heading3Char"/>
    <w:unhideWhenUsed/>
    <w:rsid w:val="00BC750E"/>
    <w:pPr>
      <w:keepNext/>
      <w:numPr>
        <w:ilvl w:val="2"/>
        <w:numId w:val="8"/>
      </w:numPr>
      <w:spacing w:before="120" w:after="120" w:line="240" w:lineRule="auto"/>
      <w:jc w:val="both"/>
      <w:outlineLvl w:val="2"/>
    </w:pPr>
    <w:rPr>
      <w:rFonts w:ascii="Times New Roman" w:eastAsiaTheme="majorEastAsia" w:hAnsi="Times New Roman" w:cs="Times New Roman"/>
      <w:bCs/>
      <w:i/>
      <w:sz w:val="24"/>
      <w:lang w:val="en-GB"/>
    </w:rPr>
  </w:style>
  <w:style w:type="paragraph" w:styleId="Heading4">
    <w:name w:val="heading 4"/>
    <w:basedOn w:val="Normal"/>
    <w:next w:val="Normal"/>
    <w:link w:val="Heading4Char"/>
    <w:uiPriority w:val="90"/>
    <w:unhideWhenUsed/>
    <w:rsid w:val="00BC750E"/>
    <w:pPr>
      <w:keepNext/>
      <w:numPr>
        <w:ilvl w:val="3"/>
        <w:numId w:val="8"/>
      </w:numPr>
      <w:spacing w:before="120" w:after="120" w:line="240" w:lineRule="auto"/>
      <w:jc w:val="both"/>
      <w:outlineLvl w:val="3"/>
    </w:pPr>
    <w:rPr>
      <w:rFonts w:ascii="Times New Roman" w:eastAsiaTheme="majorEastAsia" w:hAnsi="Times New Roman" w:cs="Times New Roman"/>
      <w:bCs/>
      <w:iCs/>
      <w:sz w:val="24"/>
      <w:lang w:val="en-GB"/>
    </w:rPr>
  </w:style>
  <w:style w:type="paragraph" w:styleId="Heading5">
    <w:name w:val="heading 5"/>
    <w:basedOn w:val="Normal"/>
    <w:next w:val="Normal"/>
    <w:link w:val="Heading5Char2"/>
    <w:uiPriority w:val="9"/>
    <w:semiHidden/>
    <w:unhideWhenUsed/>
    <w:qFormat/>
    <w:rsid w:val="0057062A"/>
    <w:pPr>
      <w:keepNext/>
      <w:keepLines/>
      <w:spacing w:before="40" w:after="0"/>
      <w:outlineLvl w:val="4"/>
    </w:pPr>
    <w:rPr>
      <w:rFonts w:asciiTheme="majorHAnsi" w:eastAsiaTheme="majorEastAsia" w:hAnsiTheme="majorHAnsi" w:cstheme="majorBidi"/>
      <w:color w:val="00602A" w:themeColor="accent1" w:themeShade="BF"/>
    </w:rPr>
  </w:style>
  <w:style w:type="paragraph" w:styleId="Heading6">
    <w:name w:val="heading 6"/>
    <w:basedOn w:val="Normal"/>
    <w:next w:val="Normal"/>
    <w:link w:val="Heading6Char2"/>
    <w:uiPriority w:val="9"/>
    <w:semiHidden/>
    <w:unhideWhenUsed/>
    <w:qFormat/>
    <w:rsid w:val="0057062A"/>
    <w:pPr>
      <w:keepNext/>
      <w:keepLines/>
      <w:spacing w:before="40" w:after="0"/>
      <w:outlineLvl w:val="5"/>
    </w:pPr>
    <w:rPr>
      <w:rFonts w:asciiTheme="majorHAnsi" w:eastAsiaTheme="majorEastAsia" w:hAnsiTheme="majorHAnsi" w:cstheme="majorBidi"/>
      <w:color w:val="00401C" w:themeColor="accent1" w:themeShade="7F"/>
    </w:rPr>
  </w:style>
  <w:style w:type="paragraph" w:styleId="Heading7">
    <w:name w:val="heading 7"/>
    <w:basedOn w:val="Normal"/>
    <w:next w:val="Normal"/>
    <w:link w:val="Heading7Char2"/>
    <w:uiPriority w:val="9"/>
    <w:semiHidden/>
    <w:unhideWhenUsed/>
    <w:qFormat/>
    <w:rsid w:val="0057062A"/>
    <w:pPr>
      <w:keepNext/>
      <w:keepLines/>
      <w:spacing w:before="40" w:after="0"/>
      <w:outlineLvl w:val="6"/>
    </w:pPr>
    <w:rPr>
      <w:rFonts w:asciiTheme="majorHAnsi" w:eastAsiaTheme="majorEastAsia" w:hAnsiTheme="majorHAnsi" w:cstheme="majorBidi"/>
      <w:i/>
      <w:iCs/>
      <w:color w:val="00401C" w:themeColor="accent1" w:themeShade="7F"/>
    </w:rPr>
  </w:style>
  <w:style w:type="paragraph" w:styleId="Heading8">
    <w:name w:val="heading 8"/>
    <w:basedOn w:val="Normal"/>
    <w:next w:val="Normal"/>
    <w:link w:val="Heading8Char2"/>
    <w:uiPriority w:val="9"/>
    <w:semiHidden/>
    <w:unhideWhenUsed/>
    <w:qFormat/>
    <w:rsid w:val="0057062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2"/>
    <w:uiPriority w:val="9"/>
    <w:semiHidden/>
    <w:unhideWhenUsed/>
    <w:qFormat/>
    <w:rsid w:val="0057062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compagnant">
    <w:name w:val="Accompagnant"/>
    <w:basedOn w:val="Normal"/>
    <w:next w:val="Normal"/>
    <w:rsid w:val="00BC750E"/>
    <w:pPr>
      <w:spacing w:line="240" w:lineRule="auto"/>
      <w:jc w:val="center"/>
    </w:pPr>
    <w:rPr>
      <w:rFonts w:ascii="Times New Roman" w:hAnsi="Times New Roman" w:cs="Times New Roman"/>
      <w:b/>
      <w:i/>
      <w:sz w:val="24"/>
      <w:lang w:val="en-GB"/>
    </w:rPr>
  </w:style>
  <w:style w:type="paragraph" w:customStyle="1" w:styleId="AccompagnantPagedecouverture">
    <w:name w:val="Accompagnant (Page de couverture)"/>
    <w:basedOn w:val="Accompagnant"/>
    <w:next w:val="Normal"/>
    <w:rsid w:val="00BC750E"/>
  </w:style>
  <w:style w:type="character" w:customStyle="1" w:styleId="Added">
    <w:name w:val="Added"/>
    <w:basedOn w:val="DefaultParagraphFont"/>
    <w:rsid w:val="00BC750E"/>
    <w:rPr>
      <w:b/>
      <w:u w:val="single"/>
      <w:shd w:val="clear" w:color="auto" w:fill="auto"/>
    </w:rPr>
  </w:style>
  <w:style w:type="paragraph" w:customStyle="1" w:styleId="Address">
    <w:name w:val="Address"/>
    <w:basedOn w:val="Normal"/>
    <w:next w:val="Normal"/>
    <w:rsid w:val="00BC750E"/>
    <w:pPr>
      <w:keepLines/>
      <w:spacing w:before="120" w:after="120" w:line="360" w:lineRule="auto"/>
      <w:ind w:left="3402"/>
    </w:pPr>
    <w:rPr>
      <w:rFonts w:ascii="Times New Roman" w:hAnsi="Times New Roman" w:cs="Times New Roman"/>
      <w:sz w:val="24"/>
      <w:lang w:val="en-GB"/>
    </w:rPr>
  </w:style>
  <w:style w:type="paragraph" w:customStyle="1" w:styleId="Annexetitre">
    <w:name w:val="Annexe titre"/>
    <w:basedOn w:val="Normal"/>
    <w:next w:val="Normal"/>
    <w:rsid w:val="00BC750E"/>
    <w:pPr>
      <w:spacing w:before="120" w:after="120" w:line="240" w:lineRule="auto"/>
      <w:jc w:val="center"/>
    </w:pPr>
    <w:rPr>
      <w:rFonts w:ascii="Times New Roman" w:hAnsi="Times New Roman" w:cs="Times New Roman"/>
      <w:b/>
      <w:sz w:val="24"/>
      <w:u w:val="single"/>
      <w:lang w:val="en-GB"/>
    </w:rPr>
  </w:style>
  <w:style w:type="paragraph" w:customStyle="1" w:styleId="Annexetitreexpos">
    <w:name w:val="Annexe titre (exposé)"/>
    <w:basedOn w:val="Normal"/>
    <w:next w:val="Normal"/>
    <w:rsid w:val="00BC750E"/>
    <w:pPr>
      <w:spacing w:before="120" w:after="120" w:line="240" w:lineRule="auto"/>
      <w:jc w:val="center"/>
    </w:pPr>
    <w:rPr>
      <w:rFonts w:ascii="Times New Roman" w:hAnsi="Times New Roman" w:cs="Times New Roman"/>
      <w:b/>
      <w:sz w:val="24"/>
      <w:u w:val="single"/>
      <w:lang w:val="en-GB"/>
    </w:rPr>
  </w:style>
  <w:style w:type="paragraph" w:customStyle="1" w:styleId="Annexetitrefichefinancire">
    <w:name w:val="Annexe titre (fiche financière)"/>
    <w:basedOn w:val="Normal"/>
    <w:next w:val="Normal"/>
    <w:rsid w:val="00BC750E"/>
    <w:pPr>
      <w:spacing w:before="120" w:after="120" w:line="240" w:lineRule="auto"/>
      <w:jc w:val="center"/>
    </w:pPr>
    <w:rPr>
      <w:rFonts w:ascii="Times New Roman" w:hAnsi="Times New Roman" w:cs="Times New Roman"/>
      <w:b/>
      <w:sz w:val="24"/>
      <w:u w:val="single"/>
      <w:lang w:val="en-GB"/>
    </w:rPr>
  </w:style>
  <w:style w:type="paragraph" w:customStyle="1" w:styleId="Applicationdirecte">
    <w:name w:val="Application directe"/>
    <w:basedOn w:val="Normal"/>
    <w:next w:val="Normal"/>
    <w:rsid w:val="00BC750E"/>
    <w:pPr>
      <w:spacing w:before="480" w:after="120" w:line="240" w:lineRule="auto"/>
      <w:jc w:val="both"/>
    </w:pPr>
    <w:rPr>
      <w:rFonts w:ascii="Times New Roman" w:hAnsi="Times New Roman" w:cs="Times New Roman"/>
      <w:sz w:val="24"/>
      <w:lang w:val="en-GB"/>
    </w:rPr>
  </w:style>
  <w:style w:type="paragraph" w:customStyle="1" w:styleId="Avertissementtitre">
    <w:name w:val="Avertissement titre"/>
    <w:basedOn w:val="Normal"/>
    <w:next w:val="Normal"/>
    <w:rsid w:val="00BC750E"/>
    <w:pPr>
      <w:keepNext/>
      <w:spacing w:before="480" w:after="120" w:line="240" w:lineRule="auto"/>
      <w:jc w:val="both"/>
    </w:pPr>
    <w:rPr>
      <w:rFonts w:ascii="Times New Roman" w:hAnsi="Times New Roman" w:cs="Times New Roman"/>
      <w:sz w:val="24"/>
      <w:u w:val="single"/>
      <w:lang w:val="en-GB"/>
    </w:rPr>
  </w:style>
  <w:style w:type="paragraph" w:styleId="BalloonText">
    <w:name w:val="Balloon Text"/>
    <w:basedOn w:val="Normal"/>
    <w:link w:val="BalloonTextChar"/>
    <w:semiHidden/>
    <w:unhideWhenUsed/>
    <w:rsid w:val="00BC750E"/>
    <w:pPr>
      <w:spacing w:after="0" w:line="240" w:lineRule="auto"/>
      <w:jc w:val="both"/>
    </w:pPr>
    <w:rPr>
      <w:rFonts w:ascii="Tahoma" w:hAnsi="Tahoma" w:cs="Tahoma"/>
      <w:sz w:val="16"/>
      <w:szCs w:val="16"/>
      <w:lang w:val="en-GB"/>
    </w:rPr>
  </w:style>
  <w:style w:type="character" w:customStyle="1" w:styleId="BalloonTextChar">
    <w:name w:val="Balloon Text Char"/>
    <w:basedOn w:val="DefaultParagraphFont"/>
    <w:link w:val="BalloonText"/>
    <w:semiHidden/>
    <w:rsid w:val="00BC750E"/>
    <w:rPr>
      <w:rFonts w:ascii="Tahoma" w:hAnsi="Tahoma" w:cs="Tahoma"/>
      <w:sz w:val="16"/>
      <w:szCs w:val="16"/>
      <w:lang w:val="en-GB"/>
    </w:rPr>
  </w:style>
  <w:style w:type="paragraph" w:customStyle="1" w:styleId="Bullet0">
    <w:name w:val="Bullet 0"/>
    <w:basedOn w:val="Normal"/>
    <w:rsid w:val="00BC750E"/>
    <w:pPr>
      <w:numPr>
        <w:numId w:val="1"/>
      </w:numPr>
      <w:spacing w:before="120" w:after="120" w:line="240" w:lineRule="auto"/>
      <w:jc w:val="both"/>
    </w:pPr>
    <w:rPr>
      <w:rFonts w:ascii="Times New Roman" w:hAnsi="Times New Roman" w:cs="Times New Roman"/>
      <w:sz w:val="24"/>
      <w:lang w:val="en-GB"/>
    </w:rPr>
  </w:style>
  <w:style w:type="paragraph" w:customStyle="1" w:styleId="Bullet1">
    <w:name w:val="Bullet 1"/>
    <w:basedOn w:val="Normal"/>
    <w:rsid w:val="00BC750E"/>
    <w:pPr>
      <w:numPr>
        <w:numId w:val="2"/>
      </w:numPr>
      <w:spacing w:before="120" w:after="120" w:line="240" w:lineRule="auto"/>
      <w:jc w:val="both"/>
    </w:pPr>
    <w:rPr>
      <w:rFonts w:ascii="Times New Roman" w:hAnsi="Times New Roman" w:cs="Times New Roman"/>
      <w:sz w:val="24"/>
      <w:lang w:val="en-GB"/>
    </w:rPr>
  </w:style>
  <w:style w:type="paragraph" w:customStyle="1" w:styleId="Bullet2">
    <w:name w:val="Bullet 2"/>
    <w:basedOn w:val="Normal"/>
    <w:rsid w:val="00BC750E"/>
    <w:pPr>
      <w:numPr>
        <w:numId w:val="3"/>
      </w:numPr>
      <w:spacing w:before="120" w:after="120" w:line="240" w:lineRule="auto"/>
      <w:jc w:val="both"/>
    </w:pPr>
    <w:rPr>
      <w:rFonts w:ascii="Times New Roman" w:hAnsi="Times New Roman" w:cs="Times New Roman"/>
      <w:sz w:val="24"/>
      <w:lang w:val="en-GB"/>
    </w:rPr>
  </w:style>
  <w:style w:type="paragraph" w:customStyle="1" w:styleId="Bullet3">
    <w:name w:val="Bullet 3"/>
    <w:basedOn w:val="Normal"/>
    <w:rsid w:val="00BC750E"/>
    <w:pPr>
      <w:numPr>
        <w:numId w:val="4"/>
      </w:numPr>
      <w:spacing w:before="120" w:after="120" w:line="240" w:lineRule="auto"/>
      <w:jc w:val="both"/>
    </w:pPr>
    <w:rPr>
      <w:rFonts w:ascii="Times New Roman" w:hAnsi="Times New Roman" w:cs="Times New Roman"/>
      <w:sz w:val="24"/>
      <w:lang w:val="en-GB"/>
    </w:rPr>
  </w:style>
  <w:style w:type="paragraph" w:customStyle="1" w:styleId="Bullet4">
    <w:name w:val="Bullet 4"/>
    <w:basedOn w:val="Normal"/>
    <w:rsid w:val="00BC750E"/>
    <w:pPr>
      <w:numPr>
        <w:numId w:val="5"/>
      </w:numPr>
      <w:spacing w:before="120" w:after="120" w:line="240" w:lineRule="auto"/>
      <w:jc w:val="both"/>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BC750E"/>
    <w:pPr>
      <w:spacing w:after="200" w:line="240" w:lineRule="auto"/>
      <w:jc w:val="both"/>
    </w:pPr>
    <w:rPr>
      <w:rFonts w:ascii="Times New Roman" w:hAnsi="Times New Roman" w:cs="Times New Roman"/>
      <w:i/>
      <w:iCs/>
      <w:color w:val="003399" w:themeColor="text2"/>
      <w:sz w:val="18"/>
      <w:szCs w:val="18"/>
      <w:lang w:val="en-GB"/>
    </w:rPr>
  </w:style>
  <w:style w:type="paragraph" w:customStyle="1" w:styleId="ChapterTitle">
    <w:name w:val="ChapterTitle"/>
    <w:basedOn w:val="Normal"/>
    <w:next w:val="Normal"/>
    <w:rsid w:val="00BC750E"/>
    <w:pPr>
      <w:keepNext/>
      <w:spacing w:before="120" w:after="360" w:line="240" w:lineRule="auto"/>
      <w:jc w:val="center"/>
    </w:pPr>
    <w:rPr>
      <w:rFonts w:ascii="Times New Roman" w:hAnsi="Times New Roman" w:cs="Times New Roman"/>
      <w:b/>
      <w:sz w:val="32"/>
      <w:lang w:val="en-GB"/>
    </w:rPr>
  </w:style>
  <w:style w:type="character" w:styleId="CommentReference">
    <w:name w:val="annotation reference"/>
    <w:basedOn w:val="DefaultParagraphFont"/>
    <w:uiPriority w:val="99"/>
    <w:unhideWhenUsed/>
    <w:rsid w:val="00BC750E"/>
    <w:rPr>
      <w:sz w:val="16"/>
      <w:szCs w:val="16"/>
    </w:rPr>
  </w:style>
  <w:style w:type="paragraph" w:styleId="CommentText">
    <w:name w:val="annotation text"/>
    <w:basedOn w:val="Normal"/>
    <w:link w:val="CommentTextChar"/>
    <w:unhideWhenUsed/>
    <w:rsid w:val="00BC750E"/>
    <w:pPr>
      <w:spacing w:before="120" w:after="120" w:line="240" w:lineRule="auto"/>
      <w:jc w:val="both"/>
    </w:pPr>
    <w:rPr>
      <w:rFonts w:ascii="Times New Roman" w:hAnsi="Times New Roman" w:cs="Times New Roman"/>
      <w:szCs w:val="20"/>
      <w:lang w:val="en-GB"/>
    </w:rPr>
  </w:style>
  <w:style w:type="character" w:customStyle="1" w:styleId="CommentTextChar">
    <w:name w:val="Comment Text Char"/>
    <w:basedOn w:val="DefaultParagraphFont"/>
    <w:link w:val="CommentText"/>
    <w:rsid w:val="00BC750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semiHidden/>
    <w:unhideWhenUsed/>
    <w:rsid w:val="00BC750E"/>
    <w:rPr>
      <w:b/>
      <w:bCs/>
    </w:rPr>
  </w:style>
  <w:style w:type="character" w:customStyle="1" w:styleId="CommentSubjectChar">
    <w:name w:val="Comment Subject Char"/>
    <w:basedOn w:val="CommentTextChar"/>
    <w:link w:val="CommentSubject"/>
    <w:semiHidden/>
    <w:rsid w:val="00BC750E"/>
    <w:rPr>
      <w:rFonts w:ascii="Times New Roman" w:hAnsi="Times New Roman" w:cs="Times New Roman"/>
      <w:b/>
      <w:bCs/>
      <w:sz w:val="20"/>
      <w:szCs w:val="20"/>
      <w:lang w:val="en-GB"/>
    </w:rPr>
  </w:style>
  <w:style w:type="paragraph" w:customStyle="1" w:styleId="Confidence">
    <w:name w:val="Confidence"/>
    <w:basedOn w:val="Normal"/>
    <w:next w:val="Normal"/>
    <w:rsid w:val="00BC750E"/>
    <w:pPr>
      <w:spacing w:before="360" w:after="120" w:line="240" w:lineRule="auto"/>
      <w:jc w:val="center"/>
    </w:pPr>
    <w:rPr>
      <w:rFonts w:ascii="Times New Roman" w:hAnsi="Times New Roman" w:cs="Times New Roman"/>
      <w:sz w:val="24"/>
      <w:lang w:val="en-GB"/>
    </w:rPr>
  </w:style>
  <w:style w:type="paragraph" w:customStyle="1" w:styleId="Confidentialit">
    <w:name w:val="Confidentialité"/>
    <w:basedOn w:val="Normal"/>
    <w:next w:val="Normal"/>
    <w:rsid w:val="00BC750E"/>
    <w:pPr>
      <w:spacing w:line="240" w:lineRule="auto"/>
      <w:ind w:left="5103"/>
    </w:pPr>
    <w:rPr>
      <w:rFonts w:ascii="Times New Roman" w:hAnsi="Times New Roman" w:cs="Times New Roman"/>
      <w:i/>
      <w:sz w:val="32"/>
      <w:lang w:val="en-GB"/>
    </w:rPr>
  </w:style>
  <w:style w:type="paragraph" w:customStyle="1" w:styleId="Considrant">
    <w:name w:val="Considérant"/>
    <w:basedOn w:val="Normal"/>
    <w:rsid w:val="00BC750E"/>
    <w:pPr>
      <w:numPr>
        <w:numId w:val="6"/>
      </w:numPr>
      <w:spacing w:before="120" w:after="120" w:line="240" w:lineRule="auto"/>
      <w:jc w:val="both"/>
    </w:pPr>
    <w:rPr>
      <w:rFonts w:ascii="Times New Roman" w:hAnsi="Times New Roman" w:cs="Times New Roman"/>
      <w:sz w:val="24"/>
      <w:lang w:val="en-GB"/>
    </w:rPr>
  </w:style>
  <w:style w:type="paragraph" w:customStyle="1" w:styleId="Corrigendum">
    <w:name w:val="Corrigendum"/>
    <w:basedOn w:val="Normal"/>
    <w:next w:val="Normal"/>
    <w:rsid w:val="00BC750E"/>
    <w:pPr>
      <w:spacing w:line="240" w:lineRule="auto"/>
    </w:pPr>
    <w:rPr>
      <w:rFonts w:ascii="Times New Roman" w:hAnsi="Times New Roman" w:cs="Times New Roman"/>
      <w:sz w:val="24"/>
      <w:lang w:val="en-GB"/>
    </w:rPr>
  </w:style>
  <w:style w:type="paragraph" w:customStyle="1" w:styleId="Datedadoption">
    <w:name w:val="Date d'adoption"/>
    <w:basedOn w:val="Normal"/>
    <w:next w:val="Normal"/>
    <w:rsid w:val="00BC750E"/>
    <w:pPr>
      <w:spacing w:before="360" w:after="0" w:line="240" w:lineRule="auto"/>
      <w:jc w:val="center"/>
    </w:pPr>
    <w:rPr>
      <w:rFonts w:ascii="Times New Roman" w:hAnsi="Times New Roman" w:cs="Times New Roman"/>
      <w:b/>
      <w:sz w:val="24"/>
      <w:lang w:val="en-GB"/>
    </w:rPr>
  </w:style>
  <w:style w:type="paragraph" w:customStyle="1" w:styleId="DatedadoptionPagedecouverture">
    <w:name w:val="Date d'adoption (Page de couverture)"/>
    <w:basedOn w:val="Datedadoption"/>
    <w:next w:val="Normal"/>
    <w:rsid w:val="00BC750E"/>
  </w:style>
  <w:style w:type="paragraph" w:customStyle="1" w:styleId="DateMarking">
    <w:name w:val="DateMarking"/>
    <w:basedOn w:val="Normal"/>
    <w:rsid w:val="00BC750E"/>
    <w:pPr>
      <w:spacing w:after="0" w:line="276" w:lineRule="auto"/>
      <w:ind w:left="5103"/>
    </w:pPr>
    <w:rPr>
      <w:rFonts w:ascii="Times New Roman" w:hAnsi="Times New Roman" w:cs="Times New Roman"/>
      <w:i/>
      <w:sz w:val="28"/>
      <w:lang w:val="en-GB"/>
    </w:rPr>
  </w:style>
  <w:style w:type="paragraph" w:customStyle="1" w:styleId="Declassification">
    <w:name w:val="Declassification"/>
    <w:basedOn w:val="Normal"/>
    <w:next w:val="Normal"/>
    <w:rsid w:val="00BC750E"/>
    <w:pPr>
      <w:spacing w:after="0" w:line="240" w:lineRule="auto"/>
      <w:jc w:val="both"/>
    </w:pPr>
    <w:rPr>
      <w:rFonts w:ascii="Times New Roman" w:hAnsi="Times New Roman" w:cs="Times New Roman"/>
      <w:sz w:val="24"/>
      <w:lang w:val="en-GB"/>
    </w:rPr>
  </w:style>
  <w:style w:type="paragraph" w:customStyle="1" w:styleId="Default">
    <w:name w:val="Default"/>
    <w:rsid w:val="00BC750E"/>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Deleted">
    <w:name w:val="Deleted"/>
    <w:basedOn w:val="DefaultParagraphFont"/>
    <w:rsid w:val="00BC750E"/>
    <w:rPr>
      <w:strike/>
      <w:dstrike w:val="0"/>
      <w:shd w:val="clear" w:color="auto" w:fill="auto"/>
    </w:rPr>
  </w:style>
  <w:style w:type="paragraph" w:customStyle="1" w:styleId="Disclaimer">
    <w:name w:val="Disclaimer"/>
    <w:basedOn w:val="Normal"/>
    <w:rsid w:val="00BC750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lang w:val="en-GB"/>
    </w:rPr>
  </w:style>
  <w:style w:type="paragraph" w:customStyle="1" w:styleId="Emission">
    <w:name w:val="Emission"/>
    <w:basedOn w:val="Normal"/>
    <w:next w:val="Normal"/>
    <w:rsid w:val="00BC750E"/>
    <w:pPr>
      <w:spacing w:after="0" w:line="240" w:lineRule="auto"/>
      <w:ind w:left="5103"/>
    </w:pPr>
    <w:rPr>
      <w:rFonts w:ascii="Times New Roman" w:hAnsi="Times New Roman" w:cs="Times New Roman"/>
      <w:sz w:val="24"/>
      <w:lang w:val="en-GB"/>
    </w:rPr>
  </w:style>
  <w:style w:type="character" w:styleId="Emphasis">
    <w:name w:val="Emphasis"/>
    <w:basedOn w:val="DefaultParagraphFont"/>
    <w:uiPriority w:val="69"/>
    <w:qFormat/>
    <w:rsid w:val="00BC750E"/>
    <w:rPr>
      <w:i/>
      <w:iCs/>
    </w:rPr>
  </w:style>
  <w:style w:type="paragraph" w:customStyle="1" w:styleId="Exposdesmotifstitre">
    <w:name w:val="Exposé des motifs titre"/>
    <w:basedOn w:val="Normal"/>
    <w:next w:val="Normal"/>
    <w:rsid w:val="00BC750E"/>
    <w:pPr>
      <w:spacing w:before="120" w:after="120" w:line="240" w:lineRule="auto"/>
      <w:jc w:val="center"/>
    </w:pPr>
    <w:rPr>
      <w:rFonts w:ascii="Times New Roman" w:hAnsi="Times New Roman" w:cs="Times New Roman"/>
      <w:b/>
      <w:sz w:val="24"/>
      <w:u w:val="single"/>
      <w:lang w:val="en-GB"/>
    </w:rPr>
  </w:style>
  <w:style w:type="paragraph" w:customStyle="1" w:styleId="Fait">
    <w:name w:val="Fait à"/>
    <w:basedOn w:val="Normal"/>
    <w:next w:val="Normal"/>
    <w:rsid w:val="00BC750E"/>
    <w:pPr>
      <w:keepNext/>
      <w:spacing w:before="120" w:after="0" w:line="240" w:lineRule="auto"/>
      <w:jc w:val="both"/>
    </w:pPr>
    <w:rPr>
      <w:rFonts w:ascii="Times New Roman" w:hAnsi="Times New Roman" w:cs="Times New Roman"/>
      <w:sz w:val="24"/>
      <w:lang w:val="en-GB"/>
    </w:rPr>
  </w:style>
  <w:style w:type="paragraph" w:customStyle="1" w:styleId="Fichefinanciretitre">
    <w:name w:val="Fiche financière titre"/>
    <w:basedOn w:val="Normal"/>
    <w:next w:val="Normal"/>
    <w:rsid w:val="00BC750E"/>
    <w:pPr>
      <w:spacing w:before="120" w:after="120" w:line="240" w:lineRule="auto"/>
      <w:jc w:val="center"/>
    </w:pPr>
    <w:rPr>
      <w:rFonts w:ascii="Times New Roman" w:hAnsi="Times New Roman" w:cs="Times New Roman"/>
      <w:b/>
      <w:sz w:val="24"/>
      <w:u w:val="single"/>
      <w:lang w:val="en-GB"/>
    </w:rPr>
  </w:style>
  <w:style w:type="character" w:styleId="FollowedHyperlink">
    <w:name w:val="FollowedHyperlink"/>
    <w:basedOn w:val="DefaultParagraphFont"/>
    <w:semiHidden/>
    <w:unhideWhenUsed/>
    <w:rsid w:val="00BC750E"/>
    <w:rPr>
      <w:color w:val="003399" w:themeColor="followedHyperlink"/>
      <w:u w:val="single"/>
    </w:rPr>
  </w:style>
  <w:style w:type="paragraph" w:styleId="Footer">
    <w:name w:val="footer"/>
    <w:basedOn w:val="Normal"/>
    <w:link w:val="FooterChar"/>
    <w:uiPriority w:val="99"/>
    <w:unhideWhenUsed/>
    <w:rsid w:val="00BC750E"/>
    <w:pPr>
      <w:tabs>
        <w:tab w:val="center" w:pos="4535"/>
        <w:tab w:val="right" w:pos="9071"/>
        <w:tab w:val="right" w:pos="9921"/>
      </w:tabs>
      <w:spacing w:before="360" w:after="0" w:line="240" w:lineRule="auto"/>
      <w:ind w:left="-850" w:right="-850"/>
    </w:pPr>
    <w:rPr>
      <w:rFonts w:ascii="Times New Roman" w:hAnsi="Times New Roman" w:cs="Times New Roman"/>
      <w:sz w:val="24"/>
      <w:lang w:val="en-GB"/>
    </w:rPr>
  </w:style>
  <w:style w:type="character" w:customStyle="1" w:styleId="FooterChar">
    <w:name w:val="Footer Char"/>
    <w:basedOn w:val="DefaultParagraphFont"/>
    <w:link w:val="Footer"/>
    <w:uiPriority w:val="99"/>
    <w:rsid w:val="00BC750E"/>
    <w:rPr>
      <w:rFonts w:ascii="Times New Roman" w:hAnsi="Times New Roman" w:cs="Times New Roman"/>
      <w:sz w:val="24"/>
      <w:lang w:val="en-GB"/>
    </w:rPr>
  </w:style>
  <w:style w:type="paragraph" w:customStyle="1" w:styleId="FooterSensitivity">
    <w:name w:val="Footer Sensitivity"/>
    <w:basedOn w:val="Normal"/>
    <w:link w:val="FooterSensitivityChar"/>
    <w:uiPriority w:val="39"/>
    <w:rsid w:val="00BC750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FooterLandscape">
    <w:name w:val="FooterLandscape"/>
    <w:basedOn w:val="Normal"/>
    <w:rsid w:val="00BC750E"/>
    <w:pPr>
      <w:tabs>
        <w:tab w:val="center" w:pos="7285"/>
        <w:tab w:val="center" w:pos="10913"/>
        <w:tab w:val="right" w:pos="15137"/>
      </w:tabs>
      <w:spacing w:before="360" w:after="0" w:line="240" w:lineRule="auto"/>
      <w:ind w:left="-567" w:right="-567"/>
    </w:pPr>
    <w:rPr>
      <w:rFonts w:ascii="Times New Roman" w:hAnsi="Times New Roman" w:cs="Times New Roman"/>
      <w:sz w:val="24"/>
      <w:lang w:val="en-GB"/>
    </w:rPr>
  </w:style>
  <w:style w:type="character" w:styleId="FootnoteReference">
    <w:name w:val="footnote reference"/>
    <w:aliases w:val="EN Footnote Reference,-E Fußnotenzeichen, BVI fnr,Footnote symbol,Footnote number,Footnote Reference Number,Footnote reference number,Times 10 Point,Exposant 3 Point,Footnote Reference Superscript, Exposant 3 Point,note TESI,fr,o,FR,f"/>
    <w:basedOn w:val="DefaultParagraphFont"/>
    <w:link w:val="Char2"/>
    <w:uiPriority w:val="99"/>
    <w:unhideWhenUsed/>
    <w:qFormat/>
    <w:rsid w:val="00BC750E"/>
    <w:rPr>
      <w:shd w:val="clear" w:color="auto" w:fill="auto"/>
      <w:vertAlign w:val="superscript"/>
    </w:rPr>
  </w:style>
  <w:style w:type="paragraph" w:styleId="FootnoteText">
    <w:name w:val="footnote text"/>
    <w:aliases w:val="Footnote,Footnote Text Char1 Char,Footnote Text Char Char Char,Footnote Text Char1 Char Char Char,Footnote Text Char Char Char Char Char,Footnote Text Char1 Char Char Char Char Char,Fußnote,Footnote Text Char1 Char1 Char,Char,ft,Car"/>
    <w:basedOn w:val="Normal"/>
    <w:link w:val="FootnoteTextChar"/>
    <w:unhideWhenUsed/>
    <w:qFormat/>
    <w:rsid w:val="00066C87"/>
    <w:pPr>
      <w:spacing w:after="0" w:line="240" w:lineRule="auto"/>
      <w:ind w:left="720" w:hanging="720"/>
      <w:jc w:val="both"/>
    </w:pPr>
    <w:rPr>
      <w:rFonts w:cs="Times New Roman"/>
      <w:sz w:val="18"/>
      <w:szCs w:val="20"/>
      <w:lang w:val="en-GB"/>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 Char Char Char Char Char,Fußnote Char,Char Char"/>
    <w:basedOn w:val="DefaultParagraphFont"/>
    <w:link w:val="FootnoteText"/>
    <w:qFormat/>
    <w:rsid w:val="00066C87"/>
    <w:rPr>
      <w:rFonts w:ascii="EC Square Sans Pro" w:hAnsi="EC Square Sans Pro" w:cs="Times New Roman"/>
      <w:sz w:val="18"/>
      <w:szCs w:val="20"/>
      <w:lang w:val="en-GB"/>
    </w:rPr>
  </w:style>
  <w:style w:type="paragraph" w:customStyle="1" w:styleId="Formuledadoption">
    <w:name w:val="Formule d'adoption"/>
    <w:basedOn w:val="Normal"/>
    <w:next w:val="Normal"/>
    <w:rsid w:val="00BC750E"/>
    <w:pPr>
      <w:keepNext/>
      <w:spacing w:before="120" w:after="120" w:line="240" w:lineRule="auto"/>
      <w:jc w:val="both"/>
    </w:pPr>
    <w:rPr>
      <w:rFonts w:ascii="Times New Roman" w:hAnsi="Times New Roman" w:cs="Times New Roman"/>
      <w:sz w:val="24"/>
      <w:lang w:val="en-GB"/>
    </w:rPr>
  </w:style>
  <w:style w:type="paragraph" w:styleId="Header">
    <w:name w:val="header"/>
    <w:basedOn w:val="Normal"/>
    <w:link w:val="HeaderChar"/>
    <w:uiPriority w:val="99"/>
    <w:unhideWhenUsed/>
    <w:rsid w:val="00BC750E"/>
    <w:pPr>
      <w:tabs>
        <w:tab w:val="center" w:pos="4535"/>
        <w:tab w:val="right" w:pos="9071"/>
      </w:tabs>
      <w:spacing w:after="120" w:line="240" w:lineRule="auto"/>
      <w:jc w:val="both"/>
    </w:pPr>
    <w:rPr>
      <w:rFonts w:ascii="Times New Roman" w:hAnsi="Times New Roman" w:cs="Times New Roman"/>
      <w:sz w:val="24"/>
      <w:lang w:val="en-GB"/>
    </w:rPr>
  </w:style>
  <w:style w:type="character" w:customStyle="1" w:styleId="HeaderChar">
    <w:name w:val="Header Char"/>
    <w:basedOn w:val="DefaultParagraphFont"/>
    <w:link w:val="Header"/>
    <w:uiPriority w:val="99"/>
    <w:rsid w:val="00BC750E"/>
    <w:rPr>
      <w:rFonts w:ascii="Times New Roman" w:hAnsi="Times New Roman" w:cs="Times New Roman"/>
      <w:sz w:val="24"/>
      <w:lang w:val="en-GB"/>
    </w:rPr>
  </w:style>
  <w:style w:type="paragraph" w:customStyle="1" w:styleId="HeaderSensitivity">
    <w:name w:val="Header Sensitivity"/>
    <w:basedOn w:val="Normal"/>
    <w:link w:val="HeaderSensitivityChar"/>
    <w:uiPriority w:val="39"/>
    <w:rsid w:val="00BC750E"/>
    <w:pPr>
      <w:pBdr>
        <w:top w:val="single" w:sz="4" w:space="1" w:color="auto"/>
        <w:left w:val="single" w:sz="4" w:space="4" w:color="auto"/>
        <w:bottom w:val="single" w:sz="4" w:space="1" w:color="auto"/>
        <w:right w:val="single" w:sz="4" w:space="4" w:color="auto"/>
      </w:pBdr>
      <w:spacing w:before="0"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link w:val="HeaderSensitivityRightChar"/>
    <w:uiPriority w:val="39"/>
    <w:rsid w:val="00BC750E"/>
    <w:pPr>
      <w:spacing w:before="0" w:after="120" w:line="240" w:lineRule="auto"/>
      <w:jc w:val="right"/>
    </w:pPr>
    <w:rPr>
      <w:rFonts w:ascii="Times New Roman" w:hAnsi="Times New Roman" w:cs="Times New Roman"/>
      <w:sz w:val="28"/>
    </w:rPr>
  </w:style>
  <w:style w:type="paragraph" w:customStyle="1" w:styleId="HeaderLandscape">
    <w:name w:val="HeaderLandscape"/>
    <w:basedOn w:val="Normal"/>
    <w:rsid w:val="00BC750E"/>
    <w:pPr>
      <w:tabs>
        <w:tab w:val="center" w:pos="7285"/>
        <w:tab w:val="right" w:pos="14003"/>
      </w:tabs>
      <w:spacing w:after="120" w:line="240" w:lineRule="auto"/>
      <w:jc w:val="both"/>
    </w:pPr>
    <w:rPr>
      <w:rFonts w:ascii="Times New Roman" w:hAnsi="Times New Roman" w:cs="Times New Roman"/>
      <w:sz w:val="24"/>
      <w:lang w:val="en-GB"/>
    </w:rPr>
  </w:style>
  <w:style w:type="character" w:customStyle="1" w:styleId="Heading1Char">
    <w:name w:val="Heading 1 Char"/>
    <w:aliases w:val="Hoofdstuk Char"/>
    <w:basedOn w:val="DefaultParagraphFont"/>
    <w:link w:val="Heading1"/>
    <w:qFormat/>
    <w:rsid w:val="00BC750E"/>
    <w:rPr>
      <w:rFonts w:ascii="Times New Roman" w:eastAsiaTheme="majorEastAsia" w:hAnsi="Times New Roman" w:cs="Times New Roman"/>
      <w:b/>
      <w:bCs/>
      <w:smallCaps/>
      <w:sz w:val="24"/>
      <w:szCs w:val="28"/>
      <w:lang w:val="en-GB"/>
    </w:rPr>
  </w:style>
  <w:style w:type="character" w:customStyle="1" w:styleId="Heading2Char">
    <w:name w:val="Heading 2 Char"/>
    <w:aliases w:val="Paragraaf Char"/>
    <w:basedOn w:val="DefaultParagraphFont"/>
    <w:link w:val="Heading2"/>
    <w:qFormat/>
    <w:rsid w:val="00BC750E"/>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qFormat/>
    <w:rsid w:val="00BC750E"/>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0"/>
    <w:qFormat/>
    <w:rsid w:val="00BC750E"/>
    <w:rPr>
      <w:rFonts w:ascii="Times New Roman" w:eastAsiaTheme="majorEastAsia" w:hAnsi="Times New Roman" w:cs="Times New Roman"/>
      <w:bCs/>
      <w:iCs/>
      <w:sz w:val="24"/>
      <w:lang w:val="en-GB"/>
    </w:rPr>
  </w:style>
  <w:style w:type="character" w:styleId="Hyperlink">
    <w:name w:val="Hyperlink"/>
    <w:basedOn w:val="DefaultParagraphFont"/>
    <w:uiPriority w:val="99"/>
    <w:unhideWhenUsed/>
    <w:rsid w:val="00BC750E"/>
    <w:rPr>
      <w:color w:val="003399" w:themeColor="hyperlink"/>
      <w:u w:val="single"/>
    </w:rPr>
  </w:style>
  <w:style w:type="paragraph" w:customStyle="1" w:styleId="Institutionquiagit">
    <w:name w:val="Institution qui agit"/>
    <w:basedOn w:val="Normal"/>
    <w:next w:val="Normal"/>
    <w:rsid w:val="00BC750E"/>
    <w:pPr>
      <w:keepNext/>
      <w:spacing w:before="600" w:after="120" w:line="240" w:lineRule="auto"/>
      <w:jc w:val="both"/>
    </w:pPr>
    <w:rPr>
      <w:rFonts w:ascii="Times New Roman" w:hAnsi="Times New Roman" w:cs="Times New Roman"/>
      <w:sz w:val="24"/>
      <w:lang w:val="en-GB"/>
    </w:rPr>
  </w:style>
  <w:style w:type="paragraph" w:customStyle="1" w:styleId="Institutionquisigne">
    <w:name w:val="Institution qui signe"/>
    <w:basedOn w:val="Normal"/>
    <w:next w:val="Normal"/>
    <w:rsid w:val="00BC750E"/>
    <w:pPr>
      <w:keepNext/>
      <w:tabs>
        <w:tab w:val="left" w:pos="4252"/>
      </w:tabs>
      <w:spacing w:before="720" w:after="0" w:line="240" w:lineRule="auto"/>
      <w:jc w:val="both"/>
    </w:pPr>
    <w:rPr>
      <w:rFonts w:ascii="Times New Roman" w:hAnsi="Times New Roman" w:cs="Times New Roman"/>
      <w:i/>
      <w:sz w:val="24"/>
      <w:lang w:val="en-GB"/>
    </w:rPr>
  </w:style>
  <w:style w:type="paragraph" w:customStyle="1" w:styleId="Languesfaisantfoi">
    <w:name w:val="Langues faisant foi"/>
    <w:basedOn w:val="Normal"/>
    <w:next w:val="Normal"/>
    <w:rsid w:val="00D47EED"/>
    <w:pPr>
      <w:spacing w:before="36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D47EED"/>
    <w:pPr>
      <w:spacing w:after="0"/>
    </w:pPr>
  </w:style>
  <w:style w:type="paragraph" w:customStyle="1" w:styleId="IntrtEEEPagedecouverture">
    <w:name w:val="Intérêt EEE (Page de couverture)"/>
    <w:basedOn w:val="IntrtEEE"/>
    <w:next w:val="Normal"/>
    <w:rsid w:val="00D47EED"/>
  </w:style>
  <w:style w:type="paragraph" w:customStyle="1" w:styleId="Langue">
    <w:name w:val="Langue"/>
    <w:basedOn w:val="Normal"/>
    <w:next w:val="Normal"/>
    <w:rsid w:val="00BC750E"/>
    <w:pPr>
      <w:framePr w:wrap="around" w:vAnchor="page" w:hAnchor="text" w:xAlign="center" w:y="14741"/>
      <w:spacing w:after="600" w:line="240" w:lineRule="auto"/>
      <w:jc w:val="center"/>
    </w:pPr>
    <w:rPr>
      <w:rFonts w:ascii="Times New Roman" w:hAnsi="Times New Roman" w:cs="Times New Roman"/>
      <w:b/>
      <w:caps/>
      <w:sz w:val="24"/>
      <w:lang w:val="en-GB"/>
    </w:rPr>
  </w:style>
  <w:style w:type="paragraph" w:customStyle="1" w:styleId="LanguesfaisantfoiPagedecouverture">
    <w:name w:val="Langues faisant foi (Page de couverture)"/>
    <w:basedOn w:val="Normal"/>
    <w:next w:val="Rfrencecroise"/>
    <w:rsid w:val="00D47EED"/>
    <w:pPr>
      <w:spacing w:before="360" w:line="240" w:lineRule="auto"/>
      <w:jc w:val="center"/>
    </w:pPr>
    <w:rPr>
      <w:rFonts w:ascii="Times New Roman" w:hAnsi="Times New Roman" w:cs="Times New Roman"/>
      <w:kern w:val="0"/>
      <w:sz w:val="24"/>
      <w14:ligatures w14:val="none"/>
    </w:rPr>
  </w:style>
  <w:style w:type="paragraph" w:styleId="ListBullet">
    <w:name w:val="List Bullet"/>
    <w:basedOn w:val="Normal"/>
    <w:uiPriority w:val="3"/>
    <w:unhideWhenUsed/>
    <w:rsid w:val="00BC750E"/>
    <w:pPr>
      <w:numPr>
        <w:numId w:val="9"/>
      </w:numPr>
      <w:spacing w:before="120" w:after="120" w:line="240" w:lineRule="auto"/>
      <w:contextualSpacing/>
      <w:jc w:val="both"/>
    </w:pPr>
    <w:rPr>
      <w:rFonts w:ascii="Times New Roman" w:hAnsi="Times New Roman" w:cs="Times New Roman"/>
      <w:sz w:val="24"/>
      <w:lang w:val="en-GB"/>
    </w:rPr>
  </w:style>
  <w:style w:type="paragraph" w:styleId="ListBullet2">
    <w:name w:val="List Bullet 2"/>
    <w:basedOn w:val="Normal"/>
    <w:unhideWhenUsed/>
    <w:rsid w:val="00BC750E"/>
    <w:pPr>
      <w:numPr>
        <w:numId w:val="10"/>
      </w:numPr>
      <w:spacing w:before="120" w:after="120" w:line="240" w:lineRule="auto"/>
      <w:contextualSpacing/>
      <w:jc w:val="both"/>
    </w:pPr>
    <w:rPr>
      <w:rFonts w:ascii="Times New Roman" w:hAnsi="Times New Roman" w:cs="Times New Roman"/>
      <w:sz w:val="24"/>
      <w:lang w:val="en-GB"/>
    </w:rPr>
  </w:style>
  <w:style w:type="paragraph" w:styleId="ListBullet3">
    <w:name w:val="List Bullet 3"/>
    <w:basedOn w:val="Normal"/>
    <w:uiPriority w:val="3"/>
    <w:semiHidden/>
    <w:unhideWhenUsed/>
    <w:rsid w:val="00BC750E"/>
    <w:pPr>
      <w:numPr>
        <w:numId w:val="11"/>
      </w:numPr>
      <w:spacing w:before="120" w:after="120" w:line="240" w:lineRule="auto"/>
      <w:contextualSpacing/>
      <w:jc w:val="both"/>
    </w:pPr>
    <w:rPr>
      <w:rFonts w:ascii="Times New Roman" w:hAnsi="Times New Roman" w:cs="Times New Roman"/>
      <w:sz w:val="24"/>
      <w:lang w:val="en-GB"/>
    </w:rPr>
  </w:style>
  <w:style w:type="paragraph" w:styleId="ListBullet4">
    <w:name w:val="List Bullet 4"/>
    <w:basedOn w:val="Normal"/>
    <w:uiPriority w:val="3"/>
    <w:semiHidden/>
    <w:unhideWhenUsed/>
    <w:rsid w:val="00BC750E"/>
    <w:pPr>
      <w:numPr>
        <w:numId w:val="12"/>
      </w:numPr>
      <w:spacing w:before="120" w:after="120" w:line="240" w:lineRule="auto"/>
      <w:contextualSpacing/>
      <w:jc w:val="both"/>
    </w:pPr>
    <w:rPr>
      <w:rFonts w:ascii="Times New Roman" w:hAnsi="Times New Roman" w:cs="Times New Roman"/>
      <w:sz w:val="24"/>
      <w:lang w:val="en-GB"/>
    </w:rPr>
  </w:style>
  <w:style w:type="paragraph" w:styleId="ListNumber">
    <w:name w:val="List Number"/>
    <w:basedOn w:val="Normal"/>
    <w:unhideWhenUsed/>
    <w:rsid w:val="00BC750E"/>
    <w:pPr>
      <w:numPr>
        <w:numId w:val="13"/>
      </w:numPr>
      <w:spacing w:before="120" w:after="120" w:line="240" w:lineRule="auto"/>
      <w:contextualSpacing/>
      <w:jc w:val="both"/>
    </w:pPr>
    <w:rPr>
      <w:rFonts w:ascii="Times New Roman" w:hAnsi="Times New Roman" w:cs="Times New Roman"/>
      <w:sz w:val="24"/>
      <w:lang w:val="en-GB"/>
    </w:rPr>
  </w:style>
  <w:style w:type="paragraph" w:styleId="ListNumber2">
    <w:name w:val="List Number 2"/>
    <w:basedOn w:val="Normal"/>
    <w:uiPriority w:val="3"/>
    <w:semiHidden/>
    <w:unhideWhenUsed/>
    <w:rsid w:val="00BC750E"/>
    <w:pPr>
      <w:numPr>
        <w:numId w:val="14"/>
      </w:numPr>
      <w:spacing w:before="120" w:after="120" w:line="240" w:lineRule="auto"/>
      <w:contextualSpacing/>
      <w:jc w:val="both"/>
    </w:pPr>
    <w:rPr>
      <w:rFonts w:ascii="Times New Roman" w:hAnsi="Times New Roman" w:cs="Times New Roman"/>
      <w:sz w:val="24"/>
      <w:lang w:val="en-GB"/>
    </w:rPr>
  </w:style>
  <w:style w:type="paragraph" w:styleId="ListNumber3">
    <w:name w:val="List Number 3"/>
    <w:basedOn w:val="Normal"/>
    <w:uiPriority w:val="3"/>
    <w:semiHidden/>
    <w:unhideWhenUsed/>
    <w:rsid w:val="00BC750E"/>
    <w:pPr>
      <w:numPr>
        <w:numId w:val="15"/>
      </w:numPr>
      <w:spacing w:before="120" w:after="120" w:line="240" w:lineRule="auto"/>
      <w:contextualSpacing/>
      <w:jc w:val="both"/>
    </w:pPr>
    <w:rPr>
      <w:rFonts w:ascii="Times New Roman" w:hAnsi="Times New Roman" w:cs="Times New Roman"/>
      <w:sz w:val="24"/>
      <w:lang w:val="en-GB"/>
    </w:rPr>
  </w:style>
  <w:style w:type="paragraph" w:styleId="ListNumber4">
    <w:name w:val="List Number 4"/>
    <w:basedOn w:val="Normal"/>
    <w:unhideWhenUsed/>
    <w:rsid w:val="00BC750E"/>
    <w:pPr>
      <w:numPr>
        <w:numId w:val="16"/>
      </w:numPr>
      <w:spacing w:before="120" w:after="120" w:line="240" w:lineRule="auto"/>
      <w:contextualSpacing/>
      <w:jc w:val="both"/>
    </w:pPr>
    <w:rPr>
      <w:rFonts w:ascii="Times New Roman" w:hAnsi="Times New Roman" w:cs="Times New Roman"/>
      <w:sz w:val="24"/>
      <w:lang w:val="en-GB"/>
    </w:rPr>
  </w:style>
  <w:style w:type="paragraph" w:styleId="ListParagraph">
    <w:name w:val="List Paragraph"/>
    <w:aliases w:val="Table of contents numbered,Normal bullet 2,Numbered paragraph 1,Paragrafo elenco,1st level - Bullet List Paragraph,Lettre d'introduction,List Paragraph1,Paragraphe de liste1,Medium Grid 1 - Accent 21,2,Paragraphe de liste 2,Reference list"/>
    <w:basedOn w:val="Normal"/>
    <w:link w:val="ListParagraphChar"/>
    <w:uiPriority w:val="34"/>
    <w:qFormat/>
    <w:rsid w:val="00BC750E"/>
    <w:pPr>
      <w:spacing w:after="0" w:line="240" w:lineRule="auto"/>
      <w:ind w:left="720"/>
    </w:pPr>
    <w:rPr>
      <w:rFonts w:ascii="Calibri" w:hAnsi="Calibri" w:cs="Times New Roman"/>
      <w:lang w:val="en-GB"/>
    </w:rPr>
  </w:style>
  <w:style w:type="paragraph" w:customStyle="1" w:styleId="ManualConsidrant">
    <w:name w:val="Manual Considérant"/>
    <w:basedOn w:val="Normal"/>
    <w:rsid w:val="00BC750E"/>
    <w:pPr>
      <w:spacing w:before="120" w:after="120" w:line="240" w:lineRule="auto"/>
      <w:ind w:left="709" w:hanging="709"/>
      <w:jc w:val="both"/>
    </w:pPr>
    <w:rPr>
      <w:rFonts w:ascii="Times New Roman" w:hAnsi="Times New Roman" w:cs="Times New Roman"/>
      <w:sz w:val="24"/>
      <w:lang w:val="en-GB"/>
    </w:rPr>
  </w:style>
  <w:style w:type="paragraph" w:customStyle="1" w:styleId="ManualHeading1">
    <w:name w:val="Manual Heading 1"/>
    <w:basedOn w:val="Normal"/>
    <w:next w:val="Normal"/>
    <w:rsid w:val="00BC750E"/>
    <w:pPr>
      <w:keepNext/>
      <w:tabs>
        <w:tab w:val="left" w:pos="850"/>
      </w:tabs>
      <w:spacing w:before="360" w:after="120" w:line="240" w:lineRule="auto"/>
      <w:ind w:left="850" w:hanging="850"/>
      <w:jc w:val="both"/>
      <w:outlineLvl w:val="0"/>
    </w:pPr>
    <w:rPr>
      <w:rFonts w:ascii="Times New Roman" w:hAnsi="Times New Roman" w:cs="Times New Roman"/>
      <w:b/>
      <w:smallCaps/>
      <w:sz w:val="24"/>
      <w:lang w:val="en-GB"/>
    </w:rPr>
  </w:style>
  <w:style w:type="paragraph" w:customStyle="1" w:styleId="ManualHeading2">
    <w:name w:val="Manual Heading 2"/>
    <w:basedOn w:val="Normal"/>
    <w:next w:val="Normal"/>
    <w:rsid w:val="00BC750E"/>
    <w:pPr>
      <w:keepNext/>
      <w:tabs>
        <w:tab w:val="left" w:pos="850"/>
      </w:tabs>
      <w:spacing w:before="120" w:after="120" w:line="240" w:lineRule="auto"/>
      <w:ind w:left="850" w:hanging="850"/>
      <w:jc w:val="both"/>
      <w:outlineLvl w:val="1"/>
    </w:pPr>
    <w:rPr>
      <w:rFonts w:ascii="Times New Roman" w:hAnsi="Times New Roman" w:cs="Times New Roman"/>
      <w:b/>
      <w:sz w:val="24"/>
      <w:lang w:val="en-GB"/>
    </w:rPr>
  </w:style>
  <w:style w:type="paragraph" w:customStyle="1" w:styleId="ManualHeading3">
    <w:name w:val="Manual Heading 3"/>
    <w:basedOn w:val="Normal"/>
    <w:next w:val="Normal"/>
    <w:rsid w:val="00BC750E"/>
    <w:pPr>
      <w:keepNext/>
      <w:tabs>
        <w:tab w:val="left" w:pos="850"/>
      </w:tabs>
      <w:spacing w:before="120" w:after="120" w:line="240" w:lineRule="auto"/>
      <w:ind w:left="850" w:hanging="850"/>
      <w:jc w:val="both"/>
      <w:outlineLvl w:val="2"/>
    </w:pPr>
    <w:rPr>
      <w:rFonts w:ascii="Times New Roman" w:hAnsi="Times New Roman" w:cs="Times New Roman"/>
      <w:i/>
      <w:sz w:val="24"/>
      <w:lang w:val="en-GB"/>
    </w:rPr>
  </w:style>
  <w:style w:type="paragraph" w:customStyle="1" w:styleId="ManualHeading4">
    <w:name w:val="Manual Heading 4"/>
    <w:basedOn w:val="Normal"/>
    <w:next w:val="Normal"/>
    <w:rsid w:val="00BC750E"/>
    <w:pPr>
      <w:keepNext/>
      <w:tabs>
        <w:tab w:val="left" w:pos="850"/>
      </w:tabs>
      <w:spacing w:before="120" w:after="120" w:line="240" w:lineRule="auto"/>
      <w:ind w:left="850" w:hanging="850"/>
      <w:jc w:val="both"/>
      <w:outlineLvl w:val="3"/>
    </w:pPr>
    <w:rPr>
      <w:rFonts w:ascii="Times New Roman" w:hAnsi="Times New Roman" w:cs="Times New Roman"/>
      <w:sz w:val="24"/>
      <w:lang w:val="en-GB"/>
    </w:rPr>
  </w:style>
  <w:style w:type="paragraph" w:customStyle="1" w:styleId="ManualNumPar1">
    <w:name w:val="Manual NumPar 1"/>
    <w:basedOn w:val="Normal"/>
    <w:next w:val="Normal"/>
    <w:rsid w:val="00BC750E"/>
    <w:pPr>
      <w:spacing w:before="120" w:after="120" w:line="240" w:lineRule="auto"/>
      <w:ind w:left="850" w:hanging="850"/>
      <w:jc w:val="both"/>
    </w:pPr>
    <w:rPr>
      <w:rFonts w:ascii="Times New Roman" w:hAnsi="Times New Roman" w:cs="Times New Roman"/>
      <w:sz w:val="24"/>
      <w:lang w:val="en-GB"/>
    </w:rPr>
  </w:style>
  <w:style w:type="paragraph" w:customStyle="1" w:styleId="ManualNumPar2">
    <w:name w:val="Manual NumPar 2"/>
    <w:basedOn w:val="Normal"/>
    <w:next w:val="Normal"/>
    <w:rsid w:val="00BC750E"/>
    <w:pPr>
      <w:spacing w:before="120" w:after="120" w:line="240" w:lineRule="auto"/>
      <w:ind w:left="850" w:hanging="850"/>
      <w:jc w:val="both"/>
    </w:pPr>
    <w:rPr>
      <w:rFonts w:ascii="Times New Roman" w:hAnsi="Times New Roman" w:cs="Times New Roman"/>
      <w:sz w:val="24"/>
      <w:lang w:val="en-GB"/>
    </w:rPr>
  </w:style>
  <w:style w:type="paragraph" w:customStyle="1" w:styleId="ManualNumPar3">
    <w:name w:val="Manual NumPar 3"/>
    <w:basedOn w:val="Normal"/>
    <w:next w:val="Normal"/>
    <w:rsid w:val="00BC750E"/>
    <w:pPr>
      <w:spacing w:before="120" w:after="120" w:line="240" w:lineRule="auto"/>
      <w:ind w:left="850" w:hanging="850"/>
      <w:jc w:val="both"/>
    </w:pPr>
    <w:rPr>
      <w:rFonts w:ascii="Times New Roman" w:hAnsi="Times New Roman" w:cs="Times New Roman"/>
      <w:sz w:val="24"/>
      <w:lang w:val="en-GB"/>
    </w:rPr>
  </w:style>
  <w:style w:type="paragraph" w:customStyle="1" w:styleId="ManualNumPar4">
    <w:name w:val="Manual NumPar 4"/>
    <w:basedOn w:val="Normal"/>
    <w:next w:val="Normal"/>
    <w:rsid w:val="00BC750E"/>
    <w:pPr>
      <w:spacing w:before="120" w:after="120" w:line="240" w:lineRule="auto"/>
      <w:ind w:left="850" w:hanging="850"/>
      <w:jc w:val="both"/>
    </w:pPr>
    <w:rPr>
      <w:rFonts w:ascii="Times New Roman" w:hAnsi="Times New Roman" w:cs="Times New Roman"/>
      <w:sz w:val="24"/>
      <w:lang w:val="en-GB"/>
    </w:rPr>
  </w:style>
  <w:style w:type="character" w:customStyle="1" w:styleId="Marker">
    <w:name w:val="Marker"/>
    <w:basedOn w:val="DefaultParagraphFont"/>
    <w:uiPriority w:val="39"/>
    <w:rsid w:val="00BC750E"/>
    <w:rPr>
      <w:color w:val="0000FF"/>
      <w:shd w:val="clear" w:color="auto" w:fill="auto"/>
    </w:rPr>
  </w:style>
  <w:style w:type="character" w:customStyle="1" w:styleId="Marker1">
    <w:name w:val="Marker1"/>
    <w:basedOn w:val="DefaultParagraphFont"/>
    <w:rsid w:val="00BC750E"/>
    <w:rPr>
      <w:color w:val="008000"/>
      <w:shd w:val="clear" w:color="auto" w:fill="auto"/>
    </w:rPr>
  </w:style>
  <w:style w:type="character" w:customStyle="1" w:styleId="Marker2">
    <w:name w:val="Marker2"/>
    <w:basedOn w:val="DefaultParagraphFont"/>
    <w:rsid w:val="00BC750E"/>
    <w:rPr>
      <w:color w:val="FF0000"/>
      <w:shd w:val="clear" w:color="auto" w:fill="auto"/>
    </w:rPr>
  </w:style>
  <w:style w:type="paragraph" w:customStyle="1" w:styleId="Nomdelinstitution">
    <w:name w:val="Nom de l'institution"/>
    <w:basedOn w:val="Normal"/>
    <w:next w:val="Emission"/>
    <w:rsid w:val="00BC750E"/>
    <w:pPr>
      <w:spacing w:after="0" w:line="240" w:lineRule="auto"/>
    </w:pPr>
    <w:rPr>
      <w:rFonts w:ascii="Arial" w:hAnsi="Arial" w:cs="Arial"/>
      <w:sz w:val="24"/>
      <w:lang w:val="en-GB"/>
    </w:rPr>
  </w:style>
  <w:style w:type="paragraph" w:styleId="NormalWeb">
    <w:name w:val="Normal (Web)"/>
    <w:basedOn w:val="Normal"/>
    <w:uiPriority w:val="99"/>
    <w:semiHidden/>
    <w:unhideWhenUsed/>
    <w:rsid w:val="00BC750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rmalCentered">
    <w:name w:val="Normal Centered"/>
    <w:basedOn w:val="Normal"/>
    <w:rsid w:val="00BC750E"/>
    <w:pPr>
      <w:spacing w:before="120" w:after="120" w:line="240" w:lineRule="auto"/>
      <w:jc w:val="center"/>
    </w:pPr>
    <w:rPr>
      <w:rFonts w:ascii="Times New Roman" w:hAnsi="Times New Roman" w:cs="Times New Roman"/>
      <w:sz w:val="24"/>
      <w:lang w:val="en-GB"/>
    </w:rPr>
  </w:style>
  <w:style w:type="paragraph" w:customStyle="1" w:styleId="NormalLeft">
    <w:name w:val="Normal Left"/>
    <w:basedOn w:val="Normal"/>
    <w:rsid w:val="00BC750E"/>
    <w:pPr>
      <w:spacing w:before="120" w:after="120" w:line="240" w:lineRule="auto"/>
    </w:pPr>
    <w:rPr>
      <w:rFonts w:ascii="Times New Roman" w:hAnsi="Times New Roman" w:cs="Times New Roman"/>
      <w:sz w:val="24"/>
      <w:lang w:val="en-GB"/>
    </w:rPr>
  </w:style>
  <w:style w:type="paragraph" w:customStyle="1" w:styleId="NormalRight">
    <w:name w:val="Normal Right"/>
    <w:basedOn w:val="Normal"/>
    <w:rsid w:val="00BC750E"/>
    <w:pPr>
      <w:spacing w:before="120" w:after="120" w:line="240" w:lineRule="auto"/>
      <w:jc w:val="right"/>
    </w:pPr>
    <w:rPr>
      <w:rFonts w:ascii="Times New Roman" w:hAnsi="Times New Roman" w:cs="Times New Roman"/>
      <w:sz w:val="24"/>
      <w:lang w:val="en-GB"/>
    </w:rPr>
  </w:style>
  <w:style w:type="paragraph" w:customStyle="1" w:styleId="NumPar1">
    <w:name w:val="NumPar 1"/>
    <w:basedOn w:val="Normal"/>
    <w:next w:val="Normal"/>
    <w:rsid w:val="00BC750E"/>
    <w:pPr>
      <w:numPr>
        <w:numId w:val="17"/>
      </w:numPr>
      <w:spacing w:before="120" w:after="120" w:line="240" w:lineRule="auto"/>
      <w:jc w:val="both"/>
    </w:pPr>
    <w:rPr>
      <w:rFonts w:ascii="Times New Roman" w:hAnsi="Times New Roman" w:cs="Times New Roman"/>
      <w:sz w:val="24"/>
      <w:lang w:val="en-GB"/>
    </w:rPr>
  </w:style>
  <w:style w:type="paragraph" w:customStyle="1" w:styleId="NumPar2">
    <w:name w:val="NumPar 2"/>
    <w:basedOn w:val="Normal"/>
    <w:next w:val="Normal"/>
    <w:rsid w:val="00BC750E"/>
    <w:pPr>
      <w:numPr>
        <w:ilvl w:val="1"/>
        <w:numId w:val="17"/>
      </w:numPr>
      <w:spacing w:before="120" w:after="120" w:line="240" w:lineRule="auto"/>
      <w:jc w:val="both"/>
    </w:pPr>
    <w:rPr>
      <w:rFonts w:ascii="Times New Roman" w:hAnsi="Times New Roman" w:cs="Times New Roman"/>
      <w:sz w:val="24"/>
      <w:lang w:val="en-GB"/>
    </w:rPr>
  </w:style>
  <w:style w:type="paragraph" w:customStyle="1" w:styleId="NumPar3">
    <w:name w:val="NumPar 3"/>
    <w:basedOn w:val="Normal"/>
    <w:next w:val="Normal"/>
    <w:rsid w:val="00BC750E"/>
    <w:pPr>
      <w:numPr>
        <w:ilvl w:val="2"/>
        <w:numId w:val="17"/>
      </w:numPr>
      <w:spacing w:before="120" w:after="120" w:line="240" w:lineRule="auto"/>
      <w:jc w:val="both"/>
    </w:pPr>
    <w:rPr>
      <w:rFonts w:ascii="Times New Roman" w:hAnsi="Times New Roman" w:cs="Times New Roman"/>
      <w:sz w:val="24"/>
      <w:lang w:val="en-GB"/>
    </w:rPr>
  </w:style>
  <w:style w:type="paragraph" w:customStyle="1" w:styleId="NumPar4">
    <w:name w:val="NumPar 4"/>
    <w:basedOn w:val="Normal"/>
    <w:next w:val="Normal"/>
    <w:rsid w:val="00BC750E"/>
    <w:pPr>
      <w:numPr>
        <w:ilvl w:val="3"/>
        <w:numId w:val="17"/>
      </w:numPr>
      <w:spacing w:before="120" w:after="120" w:line="240" w:lineRule="auto"/>
      <w:jc w:val="both"/>
    </w:pPr>
    <w:rPr>
      <w:rFonts w:ascii="Times New Roman" w:hAnsi="Times New Roman" w:cs="Times New Roman"/>
      <w:sz w:val="24"/>
      <w:lang w:val="en-GB"/>
    </w:rPr>
  </w:style>
  <w:style w:type="paragraph" w:customStyle="1" w:styleId="Objetacteprincipal">
    <w:name w:val="Objet acte principal"/>
    <w:basedOn w:val="Normal"/>
    <w:next w:val="Normal"/>
    <w:rsid w:val="00BC750E"/>
    <w:pPr>
      <w:spacing w:after="360" w:line="240" w:lineRule="auto"/>
      <w:jc w:val="center"/>
    </w:pPr>
    <w:rPr>
      <w:rFonts w:ascii="Times New Roman" w:hAnsi="Times New Roman" w:cs="Times New Roman"/>
      <w:b/>
      <w:sz w:val="24"/>
      <w:lang w:val="en-GB"/>
    </w:rPr>
  </w:style>
  <w:style w:type="paragraph" w:customStyle="1" w:styleId="ObjetacteprincipalPagedecouverture">
    <w:name w:val="Objet acte principal (Page de couverture)"/>
    <w:basedOn w:val="Objetacteprincipal"/>
    <w:next w:val="Normal"/>
    <w:rsid w:val="00BC750E"/>
  </w:style>
  <w:style w:type="paragraph" w:customStyle="1" w:styleId="Objetexterne">
    <w:name w:val="Objet externe"/>
    <w:basedOn w:val="Normal"/>
    <w:next w:val="Normal"/>
    <w:rsid w:val="00BC750E"/>
    <w:pPr>
      <w:spacing w:before="120" w:after="120" w:line="240" w:lineRule="auto"/>
      <w:jc w:val="both"/>
    </w:pPr>
    <w:rPr>
      <w:rFonts w:ascii="Times New Roman" w:hAnsi="Times New Roman" w:cs="Times New Roman"/>
      <w:i/>
      <w:caps/>
      <w:sz w:val="24"/>
      <w:lang w:val="en-GB"/>
    </w:rPr>
  </w:style>
  <w:style w:type="character" w:customStyle="1" w:styleId="outreachitemdesc">
    <w:name w:val="outreach__item__desc"/>
    <w:basedOn w:val="DefaultParagraphFont"/>
    <w:rsid w:val="00BC750E"/>
  </w:style>
  <w:style w:type="paragraph" w:customStyle="1" w:styleId="Pagedecouverture">
    <w:name w:val="Page de couverture"/>
    <w:basedOn w:val="Normal"/>
    <w:next w:val="Normal"/>
    <w:rsid w:val="00BC750E"/>
    <w:pPr>
      <w:spacing w:after="0" w:line="240" w:lineRule="auto"/>
      <w:jc w:val="both"/>
    </w:pPr>
    <w:rPr>
      <w:rFonts w:ascii="Times New Roman" w:hAnsi="Times New Roman" w:cs="Times New Roman"/>
      <w:sz w:val="24"/>
      <w:lang w:val="en-GB"/>
    </w:rPr>
  </w:style>
  <w:style w:type="paragraph" w:customStyle="1" w:styleId="PartTitle">
    <w:name w:val="PartTitle"/>
    <w:basedOn w:val="Normal"/>
    <w:next w:val="ChapterTitle"/>
    <w:rsid w:val="00BC750E"/>
    <w:pPr>
      <w:keepNext/>
      <w:pageBreakBefore/>
      <w:spacing w:before="120" w:after="360" w:line="240" w:lineRule="auto"/>
      <w:jc w:val="center"/>
    </w:pPr>
    <w:rPr>
      <w:rFonts w:ascii="Times New Roman" w:hAnsi="Times New Roman" w:cs="Times New Roman"/>
      <w:b/>
      <w:sz w:val="36"/>
      <w:lang w:val="en-GB"/>
    </w:rPr>
  </w:style>
  <w:style w:type="paragraph" w:customStyle="1" w:styleId="Personnequisigne">
    <w:name w:val="Personne qui signe"/>
    <w:basedOn w:val="Normal"/>
    <w:next w:val="Institutionquisigne"/>
    <w:rsid w:val="00BC750E"/>
    <w:pPr>
      <w:tabs>
        <w:tab w:val="left" w:pos="4252"/>
      </w:tabs>
      <w:spacing w:after="0" w:line="240" w:lineRule="auto"/>
    </w:pPr>
    <w:rPr>
      <w:rFonts w:ascii="Times New Roman" w:hAnsi="Times New Roman" w:cs="Times New Roman"/>
      <w:i/>
      <w:sz w:val="24"/>
      <w:lang w:val="en-GB"/>
    </w:rPr>
  </w:style>
  <w:style w:type="paragraph" w:customStyle="1" w:styleId="Point0">
    <w:name w:val="Point 0"/>
    <w:basedOn w:val="Normal"/>
    <w:rsid w:val="00BC750E"/>
    <w:pPr>
      <w:spacing w:before="120" w:after="120" w:line="240" w:lineRule="auto"/>
      <w:ind w:left="850" w:hanging="850"/>
      <w:jc w:val="both"/>
    </w:pPr>
    <w:rPr>
      <w:rFonts w:ascii="Times New Roman" w:hAnsi="Times New Roman" w:cs="Times New Roman"/>
      <w:sz w:val="24"/>
      <w:lang w:val="en-GB"/>
    </w:rPr>
  </w:style>
  <w:style w:type="paragraph" w:customStyle="1" w:styleId="Point0letter">
    <w:name w:val="Point 0 (letter)"/>
    <w:basedOn w:val="Normal"/>
    <w:rsid w:val="00BC750E"/>
    <w:pPr>
      <w:numPr>
        <w:ilvl w:val="1"/>
        <w:numId w:val="18"/>
      </w:numPr>
      <w:spacing w:before="120" w:after="120" w:line="240" w:lineRule="auto"/>
      <w:jc w:val="both"/>
    </w:pPr>
    <w:rPr>
      <w:rFonts w:ascii="Times New Roman" w:hAnsi="Times New Roman" w:cs="Times New Roman"/>
      <w:sz w:val="24"/>
      <w:lang w:val="en-GB"/>
    </w:rPr>
  </w:style>
  <w:style w:type="paragraph" w:customStyle="1" w:styleId="Point0number">
    <w:name w:val="Point 0 (number)"/>
    <w:basedOn w:val="Normal"/>
    <w:rsid w:val="00BC750E"/>
    <w:pPr>
      <w:numPr>
        <w:numId w:val="18"/>
      </w:numPr>
      <w:spacing w:before="120" w:after="120" w:line="240" w:lineRule="auto"/>
      <w:jc w:val="both"/>
    </w:pPr>
    <w:rPr>
      <w:rFonts w:ascii="Times New Roman" w:hAnsi="Times New Roman" w:cs="Times New Roman"/>
      <w:sz w:val="24"/>
      <w:lang w:val="en-GB"/>
    </w:rPr>
  </w:style>
  <w:style w:type="paragraph" w:customStyle="1" w:styleId="Point1">
    <w:name w:val="Point 1"/>
    <w:basedOn w:val="Normal"/>
    <w:rsid w:val="00BC750E"/>
    <w:pPr>
      <w:spacing w:before="120" w:after="120" w:line="240" w:lineRule="auto"/>
      <w:ind w:left="1417" w:hanging="567"/>
      <w:jc w:val="both"/>
    </w:pPr>
    <w:rPr>
      <w:rFonts w:ascii="Times New Roman" w:hAnsi="Times New Roman" w:cs="Times New Roman"/>
      <w:sz w:val="24"/>
      <w:lang w:val="en-GB"/>
    </w:rPr>
  </w:style>
  <w:style w:type="paragraph" w:customStyle="1" w:styleId="Point1letter">
    <w:name w:val="Point 1 (letter)"/>
    <w:basedOn w:val="Normal"/>
    <w:rsid w:val="00BC750E"/>
    <w:pPr>
      <w:numPr>
        <w:ilvl w:val="3"/>
        <w:numId w:val="18"/>
      </w:numPr>
      <w:spacing w:before="120" w:after="120" w:line="240" w:lineRule="auto"/>
      <w:jc w:val="both"/>
    </w:pPr>
    <w:rPr>
      <w:rFonts w:ascii="Times New Roman" w:hAnsi="Times New Roman" w:cs="Times New Roman"/>
      <w:sz w:val="24"/>
      <w:lang w:val="en-GB"/>
    </w:rPr>
  </w:style>
  <w:style w:type="paragraph" w:customStyle="1" w:styleId="Point1number">
    <w:name w:val="Point 1 (number)"/>
    <w:basedOn w:val="Normal"/>
    <w:rsid w:val="00BC750E"/>
    <w:pPr>
      <w:numPr>
        <w:ilvl w:val="2"/>
        <w:numId w:val="18"/>
      </w:numPr>
      <w:spacing w:before="120" w:after="120" w:line="240" w:lineRule="auto"/>
      <w:jc w:val="both"/>
    </w:pPr>
    <w:rPr>
      <w:rFonts w:ascii="Times New Roman" w:hAnsi="Times New Roman" w:cs="Times New Roman"/>
      <w:sz w:val="24"/>
      <w:lang w:val="en-GB"/>
    </w:rPr>
  </w:style>
  <w:style w:type="paragraph" w:customStyle="1" w:styleId="Point2">
    <w:name w:val="Point 2"/>
    <w:basedOn w:val="Normal"/>
    <w:rsid w:val="00BC750E"/>
    <w:pPr>
      <w:spacing w:before="120" w:after="120" w:line="240" w:lineRule="auto"/>
      <w:ind w:left="1984" w:hanging="567"/>
      <w:jc w:val="both"/>
    </w:pPr>
    <w:rPr>
      <w:rFonts w:ascii="Times New Roman" w:hAnsi="Times New Roman" w:cs="Times New Roman"/>
      <w:sz w:val="24"/>
      <w:lang w:val="en-GB"/>
    </w:rPr>
  </w:style>
  <w:style w:type="paragraph" w:customStyle="1" w:styleId="Point2letter">
    <w:name w:val="Point 2 (letter)"/>
    <w:basedOn w:val="Normal"/>
    <w:rsid w:val="00BC750E"/>
    <w:pPr>
      <w:numPr>
        <w:ilvl w:val="5"/>
        <w:numId w:val="18"/>
      </w:numPr>
      <w:spacing w:before="120" w:after="120" w:line="240" w:lineRule="auto"/>
      <w:jc w:val="both"/>
    </w:pPr>
    <w:rPr>
      <w:rFonts w:ascii="Times New Roman" w:hAnsi="Times New Roman" w:cs="Times New Roman"/>
      <w:sz w:val="24"/>
      <w:lang w:val="en-GB"/>
    </w:rPr>
  </w:style>
  <w:style w:type="paragraph" w:customStyle="1" w:styleId="Point2number">
    <w:name w:val="Point 2 (number)"/>
    <w:basedOn w:val="Normal"/>
    <w:rsid w:val="00BC750E"/>
    <w:pPr>
      <w:numPr>
        <w:ilvl w:val="4"/>
        <w:numId w:val="18"/>
      </w:numPr>
      <w:spacing w:before="120" w:after="120" w:line="240" w:lineRule="auto"/>
      <w:jc w:val="both"/>
    </w:pPr>
    <w:rPr>
      <w:rFonts w:ascii="Times New Roman" w:hAnsi="Times New Roman" w:cs="Times New Roman"/>
      <w:sz w:val="24"/>
      <w:lang w:val="en-GB"/>
    </w:rPr>
  </w:style>
  <w:style w:type="paragraph" w:customStyle="1" w:styleId="Point3">
    <w:name w:val="Point 3"/>
    <w:basedOn w:val="Normal"/>
    <w:rsid w:val="00BC750E"/>
    <w:pPr>
      <w:spacing w:before="120" w:after="120" w:line="240" w:lineRule="auto"/>
      <w:ind w:left="2551" w:hanging="567"/>
      <w:jc w:val="both"/>
    </w:pPr>
    <w:rPr>
      <w:rFonts w:ascii="Times New Roman" w:hAnsi="Times New Roman" w:cs="Times New Roman"/>
      <w:sz w:val="24"/>
      <w:lang w:val="en-GB"/>
    </w:rPr>
  </w:style>
  <w:style w:type="paragraph" w:customStyle="1" w:styleId="Point3letter">
    <w:name w:val="Point 3 (letter)"/>
    <w:basedOn w:val="Normal"/>
    <w:rsid w:val="00BC750E"/>
    <w:pPr>
      <w:numPr>
        <w:ilvl w:val="7"/>
        <w:numId w:val="18"/>
      </w:numPr>
      <w:spacing w:before="120" w:after="120" w:line="240" w:lineRule="auto"/>
      <w:jc w:val="both"/>
    </w:pPr>
    <w:rPr>
      <w:rFonts w:ascii="Times New Roman" w:hAnsi="Times New Roman" w:cs="Times New Roman"/>
      <w:sz w:val="24"/>
      <w:lang w:val="en-GB"/>
    </w:rPr>
  </w:style>
  <w:style w:type="paragraph" w:customStyle="1" w:styleId="Point3number">
    <w:name w:val="Point 3 (number)"/>
    <w:basedOn w:val="Normal"/>
    <w:rsid w:val="00BC750E"/>
    <w:pPr>
      <w:numPr>
        <w:ilvl w:val="6"/>
        <w:numId w:val="18"/>
      </w:numPr>
      <w:spacing w:before="120" w:after="120" w:line="240" w:lineRule="auto"/>
      <w:jc w:val="both"/>
    </w:pPr>
    <w:rPr>
      <w:rFonts w:ascii="Times New Roman" w:hAnsi="Times New Roman" w:cs="Times New Roman"/>
      <w:sz w:val="24"/>
      <w:lang w:val="en-GB"/>
    </w:rPr>
  </w:style>
  <w:style w:type="paragraph" w:customStyle="1" w:styleId="Point4">
    <w:name w:val="Point 4"/>
    <w:basedOn w:val="Normal"/>
    <w:rsid w:val="00BC750E"/>
    <w:pPr>
      <w:spacing w:before="120" w:after="120" w:line="240" w:lineRule="auto"/>
      <w:ind w:left="3118" w:hanging="567"/>
      <w:jc w:val="both"/>
    </w:pPr>
    <w:rPr>
      <w:rFonts w:ascii="Times New Roman" w:hAnsi="Times New Roman" w:cs="Times New Roman"/>
      <w:sz w:val="24"/>
      <w:lang w:val="en-GB"/>
    </w:rPr>
  </w:style>
  <w:style w:type="paragraph" w:customStyle="1" w:styleId="Point4letter">
    <w:name w:val="Point 4 (letter)"/>
    <w:basedOn w:val="Normal"/>
    <w:rsid w:val="00BC750E"/>
    <w:pPr>
      <w:numPr>
        <w:ilvl w:val="8"/>
        <w:numId w:val="18"/>
      </w:numPr>
      <w:spacing w:before="120" w:after="120" w:line="240" w:lineRule="auto"/>
      <w:jc w:val="both"/>
    </w:pPr>
    <w:rPr>
      <w:rFonts w:ascii="Times New Roman" w:hAnsi="Times New Roman" w:cs="Times New Roman"/>
      <w:sz w:val="24"/>
      <w:lang w:val="en-GB"/>
    </w:rPr>
  </w:style>
  <w:style w:type="paragraph" w:customStyle="1" w:styleId="PointDouble0">
    <w:name w:val="PointDouble 0"/>
    <w:basedOn w:val="Normal"/>
    <w:rsid w:val="00BC750E"/>
    <w:pPr>
      <w:tabs>
        <w:tab w:val="left" w:pos="850"/>
      </w:tabs>
      <w:spacing w:before="120" w:after="120" w:line="240" w:lineRule="auto"/>
      <w:ind w:left="1417" w:hanging="1417"/>
      <w:jc w:val="both"/>
    </w:pPr>
    <w:rPr>
      <w:rFonts w:ascii="Times New Roman" w:hAnsi="Times New Roman" w:cs="Times New Roman"/>
      <w:sz w:val="24"/>
      <w:lang w:val="en-GB"/>
    </w:rPr>
  </w:style>
  <w:style w:type="paragraph" w:customStyle="1" w:styleId="PointDouble1">
    <w:name w:val="PointDouble 1"/>
    <w:basedOn w:val="Normal"/>
    <w:rsid w:val="00BC750E"/>
    <w:pPr>
      <w:tabs>
        <w:tab w:val="left" w:pos="1417"/>
      </w:tabs>
      <w:spacing w:before="120" w:after="120" w:line="240" w:lineRule="auto"/>
      <w:ind w:left="1984" w:hanging="1134"/>
      <w:jc w:val="both"/>
    </w:pPr>
    <w:rPr>
      <w:rFonts w:ascii="Times New Roman" w:hAnsi="Times New Roman" w:cs="Times New Roman"/>
      <w:sz w:val="24"/>
      <w:lang w:val="en-GB"/>
    </w:rPr>
  </w:style>
  <w:style w:type="paragraph" w:customStyle="1" w:styleId="PointDouble2">
    <w:name w:val="PointDouble 2"/>
    <w:basedOn w:val="Normal"/>
    <w:rsid w:val="00BC750E"/>
    <w:pPr>
      <w:tabs>
        <w:tab w:val="left" w:pos="1984"/>
      </w:tabs>
      <w:spacing w:before="120" w:after="120" w:line="240" w:lineRule="auto"/>
      <w:ind w:left="2551" w:hanging="1134"/>
      <w:jc w:val="both"/>
    </w:pPr>
    <w:rPr>
      <w:rFonts w:ascii="Times New Roman" w:hAnsi="Times New Roman" w:cs="Times New Roman"/>
      <w:sz w:val="24"/>
      <w:lang w:val="en-GB"/>
    </w:rPr>
  </w:style>
  <w:style w:type="paragraph" w:customStyle="1" w:styleId="PointDouble3">
    <w:name w:val="PointDouble 3"/>
    <w:basedOn w:val="Normal"/>
    <w:rsid w:val="00BC750E"/>
    <w:pPr>
      <w:tabs>
        <w:tab w:val="left" w:pos="2551"/>
      </w:tabs>
      <w:spacing w:before="120" w:after="120" w:line="240" w:lineRule="auto"/>
      <w:ind w:left="3118" w:hanging="1134"/>
      <w:jc w:val="both"/>
    </w:pPr>
    <w:rPr>
      <w:rFonts w:ascii="Times New Roman" w:hAnsi="Times New Roman" w:cs="Times New Roman"/>
      <w:sz w:val="24"/>
      <w:lang w:val="en-GB"/>
    </w:rPr>
  </w:style>
  <w:style w:type="paragraph" w:customStyle="1" w:styleId="PointDouble4">
    <w:name w:val="PointDouble 4"/>
    <w:basedOn w:val="Normal"/>
    <w:rsid w:val="00BC750E"/>
    <w:pPr>
      <w:tabs>
        <w:tab w:val="left" w:pos="3118"/>
      </w:tabs>
      <w:spacing w:before="120" w:after="120" w:line="240" w:lineRule="auto"/>
      <w:ind w:left="3685" w:hanging="1134"/>
      <w:jc w:val="both"/>
    </w:pPr>
    <w:rPr>
      <w:rFonts w:ascii="Times New Roman" w:hAnsi="Times New Roman" w:cs="Times New Roman"/>
      <w:sz w:val="24"/>
      <w:lang w:val="en-GB"/>
    </w:rPr>
  </w:style>
  <w:style w:type="paragraph" w:customStyle="1" w:styleId="PointTriple0">
    <w:name w:val="PointTriple 0"/>
    <w:basedOn w:val="Normal"/>
    <w:rsid w:val="00BC750E"/>
    <w:pPr>
      <w:tabs>
        <w:tab w:val="left" w:pos="850"/>
        <w:tab w:val="left" w:pos="1417"/>
      </w:tabs>
      <w:spacing w:before="120" w:after="120" w:line="240" w:lineRule="auto"/>
      <w:ind w:left="1984" w:hanging="1984"/>
      <w:jc w:val="both"/>
    </w:pPr>
    <w:rPr>
      <w:rFonts w:ascii="Times New Roman" w:hAnsi="Times New Roman" w:cs="Times New Roman"/>
      <w:sz w:val="24"/>
      <w:lang w:val="en-GB"/>
    </w:rPr>
  </w:style>
  <w:style w:type="paragraph" w:customStyle="1" w:styleId="PointTriple1">
    <w:name w:val="PointTriple 1"/>
    <w:basedOn w:val="Normal"/>
    <w:rsid w:val="00BC750E"/>
    <w:pPr>
      <w:tabs>
        <w:tab w:val="left" w:pos="1417"/>
        <w:tab w:val="left" w:pos="1984"/>
      </w:tabs>
      <w:spacing w:before="120" w:after="120" w:line="240" w:lineRule="auto"/>
      <w:ind w:left="2551" w:hanging="1701"/>
      <w:jc w:val="both"/>
    </w:pPr>
    <w:rPr>
      <w:rFonts w:ascii="Times New Roman" w:hAnsi="Times New Roman" w:cs="Times New Roman"/>
      <w:sz w:val="24"/>
      <w:lang w:val="en-GB"/>
    </w:rPr>
  </w:style>
  <w:style w:type="paragraph" w:customStyle="1" w:styleId="PointTriple2">
    <w:name w:val="PointTriple 2"/>
    <w:basedOn w:val="Normal"/>
    <w:rsid w:val="00BC750E"/>
    <w:pPr>
      <w:tabs>
        <w:tab w:val="left" w:pos="1984"/>
        <w:tab w:val="left" w:pos="2551"/>
      </w:tabs>
      <w:spacing w:before="120" w:after="120" w:line="240" w:lineRule="auto"/>
      <w:ind w:left="3118" w:hanging="1701"/>
      <w:jc w:val="both"/>
    </w:pPr>
    <w:rPr>
      <w:rFonts w:ascii="Times New Roman" w:hAnsi="Times New Roman" w:cs="Times New Roman"/>
      <w:sz w:val="24"/>
      <w:lang w:val="en-GB"/>
    </w:rPr>
  </w:style>
  <w:style w:type="paragraph" w:customStyle="1" w:styleId="PointTriple3">
    <w:name w:val="PointTriple 3"/>
    <w:basedOn w:val="Normal"/>
    <w:rsid w:val="00BC750E"/>
    <w:pPr>
      <w:tabs>
        <w:tab w:val="left" w:pos="2551"/>
        <w:tab w:val="left" w:pos="3118"/>
      </w:tabs>
      <w:spacing w:before="120" w:after="120" w:line="240" w:lineRule="auto"/>
      <w:ind w:left="3685" w:hanging="1701"/>
      <w:jc w:val="both"/>
    </w:pPr>
    <w:rPr>
      <w:rFonts w:ascii="Times New Roman" w:hAnsi="Times New Roman" w:cs="Times New Roman"/>
      <w:sz w:val="24"/>
      <w:lang w:val="en-GB"/>
    </w:rPr>
  </w:style>
  <w:style w:type="paragraph" w:customStyle="1" w:styleId="PointTriple4">
    <w:name w:val="PointTriple 4"/>
    <w:basedOn w:val="Normal"/>
    <w:rsid w:val="00BC750E"/>
    <w:pPr>
      <w:tabs>
        <w:tab w:val="left" w:pos="3118"/>
        <w:tab w:val="left" w:pos="3685"/>
      </w:tabs>
      <w:spacing w:before="120" w:after="120" w:line="240" w:lineRule="auto"/>
      <w:ind w:left="4252" w:hanging="1701"/>
      <w:jc w:val="both"/>
    </w:pPr>
    <w:rPr>
      <w:rFonts w:ascii="Times New Roman" w:hAnsi="Times New Roman" w:cs="Times New Roman"/>
      <w:sz w:val="24"/>
      <w:lang w:val="en-GB"/>
    </w:rPr>
  </w:style>
  <w:style w:type="paragraph" w:customStyle="1" w:styleId="QuotedNumPar">
    <w:name w:val="Quoted NumPar"/>
    <w:basedOn w:val="Normal"/>
    <w:rsid w:val="00BC750E"/>
    <w:pPr>
      <w:spacing w:before="120" w:after="120" w:line="240" w:lineRule="auto"/>
      <w:ind w:left="1417" w:hanging="567"/>
      <w:jc w:val="both"/>
    </w:pPr>
    <w:rPr>
      <w:rFonts w:ascii="Times New Roman" w:hAnsi="Times New Roman" w:cs="Times New Roman"/>
      <w:sz w:val="24"/>
      <w:lang w:val="en-GB"/>
    </w:rPr>
  </w:style>
  <w:style w:type="paragraph" w:customStyle="1" w:styleId="QuotedText">
    <w:name w:val="Quoted Text"/>
    <w:basedOn w:val="Normal"/>
    <w:rsid w:val="00BC750E"/>
    <w:pPr>
      <w:spacing w:before="120" w:after="120" w:line="240" w:lineRule="auto"/>
      <w:ind w:left="1417"/>
      <w:jc w:val="both"/>
    </w:pPr>
    <w:rPr>
      <w:rFonts w:ascii="Times New Roman" w:hAnsi="Times New Roman" w:cs="Times New Roman"/>
      <w:sz w:val="24"/>
      <w:lang w:val="en-GB"/>
    </w:rPr>
  </w:style>
  <w:style w:type="paragraph" w:customStyle="1" w:styleId="Rfrencecroise">
    <w:name w:val="Référence croisée"/>
    <w:basedOn w:val="Normal"/>
    <w:rsid w:val="00BC750E"/>
    <w:pPr>
      <w:spacing w:after="0" w:line="240" w:lineRule="auto"/>
      <w:jc w:val="center"/>
    </w:pPr>
    <w:rPr>
      <w:rFonts w:ascii="Times New Roman" w:hAnsi="Times New Roman" w:cs="Times New Roman"/>
      <w:sz w:val="24"/>
      <w:lang w:val="en-GB"/>
    </w:rPr>
  </w:style>
  <w:style w:type="paragraph" w:customStyle="1" w:styleId="Rfrenceinstitutionnelle">
    <w:name w:val="Référence institutionnelle"/>
    <w:basedOn w:val="Normal"/>
    <w:next w:val="Confidentialit"/>
    <w:rsid w:val="00BC750E"/>
    <w:pPr>
      <w:spacing w:line="240" w:lineRule="auto"/>
      <w:ind w:left="5103"/>
    </w:pPr>
    <w:rPr>
      <w:rFonts w:ascii="Times New Roman" w:hAnsi="Times New Roman" w:cs="Times New Roman"/>
      <w:sz w:val="24"/>
      <w:lang w:val="en-GB"/>
    </w:rPr>
  </w:style>
  <w:style w:type="paragraph" w:customStyle="1" w:styleId="Rfrenceinterinstitutionnelle">
    <w:name w:val="Référence interinstitutionnelle"/>
    <w:basedOn w:val="Normal"/>
    <w:next w:val="Normal"/>
    <w:rsid w:val="00BC750E"/>
    <w:pPr>
      <w:spacing w:after="0" w:line="240" w:lineRule="auto"/>
      <w:ind w:left="5103"/>
    </w:pPr>
    <w:rPr>
      <w:rFonts w:ascii="Times New Roman" w:hAnsi="Times New Roman" w:cs="Times New Roman"/>
      <w:sz w:val="24"/>
      <w:lang w:val="en-GB"/>
    </w:rPr>
  </w:style>
  <w:style w:type="paragraph" w:customStyle="1" w:styleId="RfrenceinterinstitutionnellePagedecouverture">
    <w:name w:val="Référence interinstitutionnelle (Page de couverture)"/>
    <w:basedOn w:val="Rfrenceinterinstitutionnelle"/>
    <w:next w:val="Confidentialit"/>
    <w:rsid w:val="00BC750E"/>
  </w:style>
  <w:style w:type="paragraph" w:customStyle="1" w:styleId="Rfrenceinterne">
    <w:name w:val="Référence interne"/>
    <w:basedOn w:val="Normal"/>
    <w:next w:val="Rfrenceinterinstitutionnelle"/>
    <w:rsid w:val="00BC750E"/>
    <w:pPr>
      <w:spacing w:after="0" w:line="240" w:lineRule="auto"/>
      <w:ind w:left="5103"/>
    </w:pPr>
    <w:rPr>
      <w:rFonts w:ascii="Times New Roman" w:hAnsi="Times New Roman" w:cs="Times New Roman"/>
      <w:sz w:val="24"/>
      <w:lang w:val="en-GB"/>
    </w:rPr>
  </w:style>
  <w:style w:type="paragraph" w:customStyle="1" w:styleId="ReleasableTo">
    <w:name w:val="ReleasableTo"/>
    <w:basedOn w:val="Normal"/>
    <w:rsid w:val="00BC750E"/>
    <w:pPr>
      <w:spacing w:after="0" w:line="276" w:lineRule="auto"/>
      <w:ind w:left="5103"/>
    </w:pPr>
    <w:rPr>
      <w:rFonts w:ascii="Times New Roman" w:hAnsi="Times New Roman" w:cs="Times New Roman"/>
      <w:i/>
      <w:sz w:val="28"/>
      <w:lang w:val="en-GB"/>
    </w:rPr>
  </w:style>
  <w:style w:type="paragraph" w:customStyle="1" w:styleId="SectionTitle">
    <w:name w:val="SectionTitle"/>
    <w:basedOn w:val="Normal"/>
    <w:next w:val="Heading1"/>
    <w:rsid w:val="00BC750E"/>
    <w:pPr>
      <w:keepNext/>
      <w:spacing w:before="120" w:after="360" w:line="240" w:lineRule="auto"/>
      <w:jc w:val="center"/>
    </w:pPr>
    <w:rPr>
      <w:rFonts w:ascii="Times New Roman" w:hAnsi="Times New Roman" w:cs="Times New Roman"/>
      <w:b/>
      <w:smallCaps/>
      <w:sz w:val="28"/>
      <w:lang w:val="en-GB"/>
    </w:rPr>
  </w:style>
  <w:style w:type="paragraph" w:customStyle="1" w:styleId="SecurityMarking">
    <w:name w:val="SecurityMarking"/>
    <w:basedOn w:val="Normal"/>
    <w:rsid w:val="00BC750E"/>
    <w:pPr>
      <w:spacing w:after="0" w:line="276" w:lineRule="auto"/>
      <w:ind w:left="5103"/>
    </w:pPr>
    <w:rPr>
      <w:rFonts w:ascii="Times New Roman" w:hAnsi="Times New Roman" w:cs="Times New Roman"/>
      <w:sz w:val="28"/>
      <w:lang w:val="en-GB"/>
    </w:rPr>
  </w:style>
  <w:style w:type="paragraph" w:customStyle="1" w:styleId="Sous-titreobjet">
    <w:name w:val="Sous-titre objet"/>
    <w:basedOn w:val="Normal"/>
    <w:rsid w:val="00BC750E"/>
    <w:pPr>
      <w:spacing w:after="0" w:line="240" w:lineRule="auto"/>
      <w:jc w:val="center"/>
    </w:pPr>
    <w:rPr>
      <w:rFonts w:ascii="Times New Roman" w:hAnsi="Times New Roman" w:cs="Times New Roman"/>
      <w:b/>
      <w:sz w:val="24"/>
      <w:lang w:val="en-GB"/>
    </w:rPr>
  </w:style>
  <w:style w:type="paragraph" w:customStyle="1" w:styleId="Sous-titreobjetPagedecouverture">
    <w:name w:val="Sous-titre objet (Page de couverture)"/>
    <w:basedOn w:val="Sous-titreobjet"/>
    <w:rsid w:val="00BC750E"/>
  </w:style>
  <w:style w:type="paragraph" w:customStyle="1" w:styleId="statut">
    <w:name w:val="statut"/>
    <w:basedOn w:val="Normal"/>
    <w:rsid w:val="00BC750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atut0">
    <w:name w:val="Statut"/>
    <w:basedOn w:val="Normal"/>
    <w:next w:val="Normal"/>
    <w:rsid w:val="00BC750E"/>
    <w:pPr>
      <w:spacing w:before="360" w:after="0" w:line="240" w:lineRule="auto"/>
      <w:jc w:val="center"/>
    </w:pPr>
    <w:rPr>
      <w:rFonts w:ascii="Times New Roman" w:hAnsi="Times New Roman" w:cs="Times New Roman"/>
      <w:sz w:val="24"/>
      <w:lang w:val="en-GB"/>
    </w:rPr>
  </w:style>
  <w:style w:type="paragraph" w:customStyle="1" w:styleId="StatutPagedecouverture">
    <w:name w:val="Statut (Page de couverture)"/>
    <w:basedOn w:val="Statut0"/>
    <w:next w:val="Normal"/>
    <w:rsid w:val="00BC750E"/>
  </w:style>
  <w:style w:type="character" w:styleId="Strong">
    <w:name w:val="Strong"/>
    <w:qFormat/>
    <w:rsid w:val="003E4650"/>
    <w:rPr>
      <w:rFonts w:ascii="EC Square Sans Pro" w:eastAsia="Yu Mincho" w:hAnsi="EC Square Sans Pro" w:cs="Times New Roman"/>
      <w:b/>
      <w:iCs/>
      <w:color w:val="003399" w:themeColor="text2"/>
      <w:kern w:val="0"/>
      <w:sz w:val="20"/>
      <w:szCs w:val="20"/>
      <w:lang w:val="en-GB" w:eastAsia="en-GB"/>
      <w14:ligatures w14:val="none"/>
    </w:rPr>
  </w:style>
  <w:style w:type="paragraph" w:customStyle="1" w:styleId="Supertitre">
    <w:name w:val="Supertitre"/>
    <w:basedOn w:val="Normal"/>
    <w:next w:val="Normal"/>
    <w:rsid w:val="00BC750E"/>
    <w:pPr>
      <w:spacing w:after="600" w:line="240" w:lineRule="auto"/>
      <w:jc w:val="center"/>
    </w:pPr>
    <w:rPr>
      <w:rFonts w:ascii="Times New Roman" w:hAnsi="Times New Roman" w:cs="Times New Roman"/>
      <w:b/>
      <w:sz w:val="24"/>
      <w:lang w:val="en-GB"/>
    </w:rPr>
  </w:style>
  <w:style w:type="table" w:styleId="TableGrid">
    <w:name w:val="Table Grid"/>
    <w:basedOn w:val="TableNormal"/>
    <w:rsid w:val="00BC750E"/>
    <w:pPr>
      <w:spacing w:after="240" w:line="240" w:lineRule="auto"/>
      <w:jc w:val="both"/>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unhideWhenUsed/>
    <w:rsid w:val="00BC750E"/>
    <w:pPr>
      <w:spacing w:before="120" w:after="0" w:line="240" w:lineRule="auto"/>
      <w:jc w:val="both"/>
    </w:pPr>
    <w:rPr>
      <w:rFonts w:ascii="Times New Roman" w:hAnsi="Times New Roman" w:cs="Times New Roman"/>
      <w:sz w:val="24"/>
      <w:lang w:val="en-GB"/>
    </w:rPr>
  </w:style>
  <w:style w:type="paragraph" w:customStyle="1" w:styleId="TableTitle">
    <w:name w:val="Table Title"/>
    <w:basedOn w:val="Normal"/>
    <w:next w:val="Normal"/>
    <w:uiPriority w:val="6"/>
    <w:rsid w:val="00BC750E"/>
    <w:pPr>
      <w:spacing w:before="120" w:after="120" w:line="240" w:lineRule="auto"/>
      <w:jc w:val="center"/>
    </w:pPr>
    <w:rPr>
      <w:rFonts w:ascii="Times New Roman" w:hAnsi="Times New Roman" w:cs="Times New Roman"/>
      <w:b/>
      <w:sz w:val="24"/>
      <w:lang w:val="en-GB"/>
    </w:rPr>
  </w:style>
  <w:style w:type="paragraph" w:customStyle="1" w:styleId="Text1">
    <w:name w:val="Text 1"/>
    <w:basedOn w:val="Normal"/>
    <w:link w:val="Text1Char"/>
    <w:uiPriority w:val="1"/>
    <w:qFormat/>
    <w:rsid w:val="00BC750E"/>
    <w:pPr>
      <w:spacing w:before="120" w:after="120" w:line="240" w:lineRule="auto"/>
      <w:ind w:left="850"/>
      <w:jc w:val="both"/>
    </w:pPr>
    <w:rPr>
      <w:rFonts w:ascii="Times New Roman" w:hAnsi="Times New Roman" w:cs="Times New Roman"/>
      <w:sz w:val="24"/>
      <w:lang w:val="en-GB"/>
    </w:rPr>
  </w:style>
  <w:style w:type="paragraph" w:customStyle="1" w:styleId="Text2">
    <w:name w:val="Text 2"/>
    <w:basedOn w:val="Normal"/>
    <w:link w:val="Text2Char"/>
    <w:rsid w:val="00BC750E"/>
    <w:pPr>
      <w:spacing w:before="120" w:after="120" w:line="240" w:lineRule="auto"/>
      <w:ind w:left="1417"/>
      <w:jc w:val="both"/>
    </w:pPr>
    <w:rPr>
      <w:rFonts w:ascii="Times New Roman" w:hAnsi="Times New Roman" w:cs="Times New Roman"/>
      <w:sz w:val="24"/>
      <w:lang w:val="en-GB"/>
    </w:rPr>
  </w:style>
  <w:style w:type="paragraph" w:customStyle="1" w:styleId="Text3">
    <w:name w:val="Text 3"/>
    <w:basedOn w:val="Normal"/>
    <w:rsid w:val="00BC750E"/>
    <w:pPr>
      <w:spacing w:before="120" w:after="120" w:line="240" w:lineRule="auto"/>
      <w:ind w:left="1984"/>
      <w:jc w:val="both"/>
    </w:pPr>
    <w:rPr>
      <w:rFonts w:ascii="Times New Roman" w:hAnsi="Times New Roman" w:cs="Times New Roman"/>
      <w:sz w:val="24"/>
      <w:lang w:val="en-GB"/>
    </w:rPr>
  </w:style>
  <w:style w:type="paragraph" w:customStyle="1" w:styleId="Text4">
    <w:name w:val="Text 4"/>
    <w:basedOn w:val="Normal"/>
    <w:rsid w:val="00BC750E"/>
    <w:pPr>
      <w:spacing w:before="120" w:after="120" w:line="240" w:lineRule="auto"/>
      <w:ind w:left="2551"/>
      <w:jc w:val="both"/>
    </w:pPr>
    <w:rPr>
      <w:rFonts w:ascii="Times New Roman" w:hAnsi="Times New Roman" w:cs="Times New Roman"/>
      <w:sz w:val="24"/>
      <w:lang w:val="en-GB"/>
    </w:rPr>
  </w:style>
  <w:style w:type="paragraph" w:customStyle="1" w:styleId="Tiret0">
    <w:name w:val="Tiret 0"/>
    <w:basedOn w:val="Point0"/>
    <w:rsid w:val="00BC750E"/>
    <w:pPr>
      <w:numPr>
        <w:numId w:val="19"/>
      </w:numPr>
    </w:pPr>
  </w:style>
  <w:style w:type="paragraph" w:customStyle="1" w:styleId="Tiret1">
    <w:name w:val="Tiret 1"/>
    <w:basedOn w:val="Point1"/>
    <w:rsid w:val="00BC750E"/>
    <w:pPr>
      <w:numPr>
        <w:numId w:val="20"/>
      </w:numPr>
    </w:pPr>
  </w:style>
  <w:style w:type="paragraph" w:customStyle="1" w:styleId="Tiret2">
    <w:name w:val="Tiret 2"/>
    <w:basedOn w:val="Point2"/>
    <w:rsid w:val="00BC750E"/>
    <w:pPr>
      <w:numPr>
        <w:numId w:val="21"/>
      </w:numPr>
    </w:pPr>
  </w:style>
  <w:style w:type="paragraph" w:customStyle="1" w:styleId="Tiret3">
    <w:name w:val="Tiret 3"/>
    <w:basedOn w:val="Point3"/>
    <w:rsid w:val="00BC750E"/>
    <w:pPr>
      <w:numPr>
        <w:numId w:val="22"/>
      </w:numPr>
    </w:pPr>
  </w:style>
  <w:style w:type="paragraph" w:customStyle="1" w:styleId="Tiret4">
    <w:name w:val="Tiret 4"/>
    <w:basedOn w:val="Point4"/>
    <w:rsid w:val="00BC750E"/>
    <w:pPr>
      <w:numPr>
        <w:numId w:val="23"/>
      </w:numPr>
    </w:pPr>
  </w:style>
  <w:style w:type="paragraph" w:customStyle="1" w:styleId="Titrearticle">
    <w:name w:val="Titre article"/>
    <w:basedOn w:val="Normal"/>
    <w:next w:val="Normal"/>
    <w:rsid w:val="00BC750E"/>
    <w:pPr>
      <w:keepNext/>
      <w:spacing w:before="360" w:after="120" w:line="240" w:lineRule="auto"/>
      <w:jc w:val="center"/>
    </w:pPr>
    <w:rPr>
      <w:rFonts w:ascii="Times New Roman" w:hAnsi="Times New Roman" w:cs="Times New Roman"/>
      <w:i/>
      <w:sz w:val="24"/>
      <w:lang w:val="en-GB"/>
    </w:rPr>
  </w:style>
  <w:style w:type="paragraph" w:customStyle="1" w:styleId="Titreobjet">
    <w:name w:val="Titre objet"/>
    <w:basedOn w:val="Normal"/>
    <w:next w:val="IntrtEEE"/>
    <w:uiPriority w:val="39"/>
    <w:rsid w:val="00BC750E"/>
    <w:pPr>
      <w:spacing w:before="360" w:after="360" w:line="240" w:lineRule="auto"/>
      <w:jc w:val="center"/>
    </w:pPr>
    <w:rPr>
      <w:rFonts w:ascii="Times New Roman" w:hAnsi="Times New Roman" w:cs="Times New Roman"/>
      <w:b/>
      <w:sz w:val="24"/>
      <w:lang w:val="en-GB"/>
    </w:rPr>
  </w:style>
  <w:style w:type="paragraph" w:customStyle="1" w:styleId="TitreobjetPagedecouverture">
    <w:name w:val="Titre objet (Page de couverture)"/>
    <w:basedOn w:val="Titreobjet"/>
    <w:next w:val="IntrtEEEPagedecouverture"/>
    <w:rsid w:val="00BC750E"/>
  </w:style>
  <w:style w:type="paragraph" w:styleId="TOC1">
    <w:name w:val="toc 1"/>
    <w:basedOn w:val="Normal"/>
    <w:next w:val="Normal"/>
    <w:uiPriority w:val="39"/>
    <w:unhideWhenUsed/>
    <w:rsid w:val="000F2E6F"/>
    <w:pPr>
      <w:tabs>
        <w:tab w:val="right" w:leader="dot" w:pos="9071"/>
      </w:tabs>
      <w:spacing w:before="160" w:after="120" w:line="240" w:lineRule="auto"/>
      <w:ind w:left="851" w:hanging="851"/>
    </w:pPr>
    <w:rPr>
      <w:rFonts w:cs="Times New Roman"/>
      <w:b/>
      <w:caps/>
      <w:color w:val="003399" w:themeColor="text2"/>
      <w:lang w:val="en-GB"/>
    </w:rPr>
  </w:style>
  <w:style w:type="paragraph" w:styleId="TOC2">
    <w:name w:val="toc 2"/>
    <w:basedOn w:val="Normal"/>
    <w:next w:val="Normal"/>
    <w:uiPriority w:val="39"/>
    <w:unhideWhenUsed/>
    <w:rsid w:val="000F2E6F"/>
    <w:pPr>
      <w:tabs>
        <w:tab w:val="right" w:leader="dot" w:pos="9071"/>
      </w:tabs>
      <w:spacing w:before="60" w:after="120" w:line="240" w:lineRule="auto"/>
      <w:ind w:left="850" w:hanging="850"/>
    </w:pPr>
    <w:rPr>
      <w:rFonts w:cs="Times New Roman"/>
      <w:b/>
      <w:color w:val="003399" w:themeColor="text2"/>
      <w:lang w:val="en-GB"/>
    </w:rPr>
  </w:style>
  <w:style w:type="paragraph" w:styleId="TOC3">
    <w:name w:val="toc 3"/>
    <w:basedOn w:val="Normal"/>
    <w:next w:val="Normal"/>
    <w:uiPriority w:val="39"/>
    <w:unhideWhenUsed/>
    <w:rsid w:val="000F2E6F"/>
    <w:pPr>
      <w:tabs>
        <w:tab w:val="right" w:leader="dot" w:pos="9071"/>
      </w:tabs>
      <w:spacing w:before="60" w:after="120" w:line="240" w:lineRule="auto"/>
      <w:ind w:left="964" w:hanging="624"/>
    </w:pPr>
    <w:rPr>
      <w:rFonts w:cs="Times New Roman"/>
      <w:noProof/>
      <w:szCs w:val="18"/>
      <w:lang w:val="en-GB"/>
    </w:rPr>
  </w:style>
  <w:style w:type="paragraph" w:styleId="TOC4">
    <w:name w:val="toc 4"/>
    <w:basedOn w:val="Normal"/>
    <w:next w:val="Normal"/>
    <w:uiPriority w:val="39"/>
    <w:unhideWhenUsed/>
    <w:rsid w:val="00BC750E"/>
    <w:pPr>
      <w:tabs>
        <w:tab w:val="right" w:leader="dot" w:pos="9071"/>
      </w:tabs>
      <w:spacing w:before="60" w:after="120" w:line="240" w:lineRule="auto"/>
      <w:ind w:left="850" w:hanging="850"/>
    </w:pPr>
    <w:rPr>
      <w:rFonts w:ascii="Times New Roman" w:hAnsi="Times New Roman" w:cs="Times New Roman"/>
      <w:sz w:val="24"/>
      <w:lang w:val="en-GB"/>
    </w:rPr>
  </w:style>
  <w:style w:type="paragraph" w:styleId="TOC5">
    <w:name w:val="toc 5"/>
    <w:basedOn w:val="Normal"/>
    <w:next w:val="Normal"/>
    <w:uiPriority w:val="39"/>
    <w:unhideWhenUsed/>
    <w:rsid w:val="00BC750E"/>
    <w:pPr>
      <w:tabs>
        <w:tab w:val="right" w:leader="dot" w:pos="9071"/>
      </w:tabs>
      <w:spacing w:before="300" w:after="120" w:line="240" w:lineRule="auto"/>
    </w:pPr>
    <w:rPr>
      <w:rFonts w:ascii="Times New Roman" w:hAnsi="Times New Roman" w:cs="Times New Roman"/>
      <w:sz w:val="24"/>
      <w:lang w:val="en-GB"/>
    </w:rPr>
  </w:style>
  <w:style w:type="paragraph" w:styleId="TOC6">
    <w:name w:val="toc 6"/>
    <w:basedOn w:val="Normal"/>
    <w:next w:val="Normal"/>
    <w:uiPriority w:val="39"/>
    <w:unhideWhenUsed/>
    <w:rsid w:val="00BC750E"/>
    <w:pPr>
      <w:tabs>
        <w:tab w:val="right" w:leader="dot" w:pos="9071"/>
      </w:tabs>
      <w:spacing w:after="120" w:line="240" w:lineRule="auto"/>
    </w:pPr>
    <w:rPr>
      <w:rFonts w:ascii="Times New Roman" w:hAnsi="Times New Roman" w:cs="Times New Roman"/>
      <w:sz w:val="24"/>
      <w:lang w:val="en-GB"/>
    </w:rPr>
  </w:style>
  <w:style w:type="paragraph" w:styleId="TOC7">
    <w:name w:val="toc 7"/>
    <w:basedOn w:val="Normal"/>
    <w:next w:val="Normal"/>
    <w:uiPriority w:val="39"/>
    <w:unhideWhenUsed/>
    <w:rsid w:val="00BC750E"/>
    <w:pPr>
      <w:tabs>
        <w:tab w:val="right" w:leader="dot" w:pos="9071"/>
      </w:tabs>
      <w:spacing w:before="180" w:after="120" w:line="240" w:lineRule="auto"/>
    </w:pPr>
    <w:rPr>
      <w:rFonts w:ascii="Times New Roman" w:hAnsi="Times New Roman" w:cs="Times New Roman"/>
      <w:sz w:val="24"/>
      <w:lang w:val="en-GB"/>
    </w:rPr>
  </w:style>
  <w:style w:type="paragraph" w:styleId="TOC8">
    <w:name w:val="toc 8"/>
    <w:basedOn w:val="Normal"/>
    <w:next w:val="Normal"/>
    <w:uiPriority w:val="39"/>
    <w:unhideWhenUsed/>
    <w:rsid w:val="00BC750E"/>
    <w:pPr>
      <w:tabs>
        <w:tab w:val="right" w:leader="dot" w:pos="9071"/>
      </w:tabs>
      <w:spacing w:before="120" w:after="120" w:line="240" w:lineRule="auto"/>
    </w:pPr>
    <w:rPr>
      <w:rFonts w:ascii="Times New Roman" w:hAnsi="Times New Roman" w:cs="Times New Roman"/>
      <w:sz w:val="24"/>
      <w:lang w:val="en-GB"/>
    </w:rPr>
  </w:style>
  <w:style w:type="paragraph" w:styleId="TOC9">
    <w:name w:val="toc 9"/>
    <w:basedOn w:val="Normal"/>
    <w:next w:val="Normal"/>
    <w:uiPriority w:val="39"/>
    <w:unhideWhenUsed/>
    <w:rsid w:val="00BC750E"/>
    <w:pPr>
      <w:tabs>
        <w:tab w:val="right" w:leader="dot" w:pos="9071"/>
      </w:tabs>
      <w:spacing w:before="120" w:after="120" w:line="240" w:lineRule="auto"/>
      <w:jc w:val="both"/>
    </w:pPr>
    <w:rPr>
      <w:rFonts w:ascii="Times New Roman" w:hAnsi="Times New Roman" w:cs="Times New Roman"/>
      <w:sz w:val="24"/>
      <w:lang w:val="en-GB"/>
    </w:rPr>
  </w:style>
  <w:style w:type="paragraph" w:styleId="TOCHeading">
    <w:name w:val="TOC Heading"/>
    <w:basedOn w:val="Normal"/>
    <w:next w:val="Normal"/>
    <w:uiPriority w:val="39"/>
    <w:unhideWhenUsed/>
    <w:qFormat/>
    <w:rsid w:val="00BC750E"/>
    <w:pPr>
      <w:spacing w:before="120" w:line="240" w:lineRule="auto"/>
      <w:jc w:val="center"/>
    </w:pPr>
    <w:rPr>
      <w:rFonts w:ascii="Times New Roman" w:hAnsi="Times New Roman" w:cs="Times New Roman"/>
      <w:b/>
      <w:sz w:val="28"/>
      <w:lang w:val="en-GB"/>
    </w:rPr>
  </w:style>
  <w:style w:type="paragraph" w:customStyle="1" w:styleId="Typeacteprincipal">
    <w:name w:val="Type acte principal"/>
    <w:basedOn w:val="Normal"/>
    <w:next w:val="Objetacteprincipal"/>
    <w:rsid w:val="00BC750E"/>
    <w:pPr>
      <w:spacing w:line="240" w:lineRule="auto"/>
      <w:jc w:val="center"/>
    </w:pPr>
    <w:rPr>
      <w:rFonts w:ascii="Times New Roman" w:hAnsi="Times New Roman" w:cs="Times New Roman"/>
      <w:b/>
      <w:sz w:val="24"/>
      <w:lang w:val="en-GB"/>
    </w:rPr>
  </w:style>
  <w:style w:type="paragraph" w:customStyle="1" w:styleId="TypeacteprincipalPagedecouverture">
    <w:name w:val="Type acte principal (Page de couverture)"/>
    <w:basedOn w:val="Typeacteprincipal"/>
    <w:next w:val="ObjetacteprincipalPagedecouverture"/>
    <w:rsid w:val="00BC750E"/>
  </w:style>
  <w:style w:type="paragraph" w:customStyle="1" w:styleId="Typedudocument">
    <w:name w:val="Type du document"/>
    <w:basedOn w:val="Normal"/>
    <w:next w:val="Titreobjet"/>
    <w:uiPriority w:val="39"/>
    <w:rsid w:val="00BC750E"/>
    <w:pPr>
      <w:spacing w:before="360" w:after="0" w:line="240" w:lineRule="auto"/>
      <w:jc w:val="center"/>
    </w:pPr>
    <w:rPr>
      <w:rFonts w:ascii="Times New Roman" w:hAnsi="Times New Roman" w:cs="Times New Roman"/>
      <w:b/>
      <w:sz w:val="24"/>
      <w:lang w:val="en-GB"/>
    </w:rPr>
  </w:style>
  <w:style w:type="paragraph" w:customStyle="1" w:styleId="TypedudocumentPagedecouverture">
    <w:name w:val="Type du document (Page de couverture)"/>
    <w:basedOn w:val="Typedudocument"/>
    <w:next w:val="TitreobjetPagedecouverture"/>
    <w:rsid w:val="00BC750E"/>
  </w:style>
  <w:style w:type="paragraph" w:customStyle="1" w:styleId="Volume">
    <w:name w:val="Volume"/>
    <w:basedOn w:val="Normal"/>
    <w:next w:val="Confidentialit"/>
    <w:rsid w:val="00BC750E"/>
    <w:pPr>
      <w:spacing w:line="240" w:lineRule="auto"/>
      <w:ind w:left="5103"/>
    </w:pPr>
    <w:rPr>
      <w:rFonts w:ascii="Times New Roman" w:hAnsi="Times New Roman" w:cs="Times New Roman"/>
      <w:sz w:val="24"/>
      <w:lang w:val="en-GB"/>
    </w:rPr>
  </w:style>
  <w:style w:type="paragraph" w:customStyle="1" w:styleId="FooterCoverPage">
    <w:name w:val="Footer Cover Page"/>
    <w:basedOn w:val="Normal"/>
    <w:link w:val="FooterCoverPageChar"/>
    <w:rsid w:val="00AB714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B714E"/>
    <w:rPr>
      <w:rFonts w:ascii="Times New Roman" w:hAnsi="Times New Roman" w:cs="Times New Roman"/>
      <w:sz w:val="24"/>
    </w:rPr>
  </w:style>
  <w:style w:type="paragraph" w:customStyle="1" w:styleId="HeaderCoverPage">
    <w:name w:val="Header Cover Page"/>
    <w:basedOn w:val="Normal"/>
    <w:link w:val="HeaderCoverPageChar"/>
    <w:rsid w:val="00AB714E"/>
    <w:pPr>
      <w:tabs>
        <w:tab w:val="center" w:pos="4535"/>
        <w:tab w:val="right" w:pos="9071"/>
      </w:tabs>
      <w:spacing w:before="0"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B714E"/>
    <w:rPr>
      <w:rFonts w:ascii="Times New Roman" w:hAnsi="Times New Roman" w:cs="Times New Roman"/>
      <w:sz w:val="24"/>
    </w:rPr>
  </w:style>
  <w:style w:type="paragraph" w:customStyle="1" w:styleId="Heading51">
    <w:name w:val="Heading 51"/>
    <w:basedOn w:val="Normal"/>
    <w:next w:val="Normal"/>
    <w:link w:val="Heading5Char1"/>
    <w:uiPriority w:val="9"/>
    <w:unhideWhenUsed/>
    <w:qFormat/>
    <w:rsid w:val="0057062A"/>
    <w:pPr>
      <w:keepNext/>
      <w:keepLines/>
      <w:spacing w:before="40" w:after="0"/>
      <w:outlineLvl w:val="4"/>
    </w:pPr>
    <w:rPr>
      <w:rFonts w:ascii="Calibri Light" w:eastAsia="Yu Gothic Light" w:hAnsi="Calibri Light" w:cs="Tunga"/>
      <w:color w:val="01625D"/>
    </w:rPr>
  </w:style>
  <w:style w:type="paragraph" w:customStyle="1" w:styleId="Heading61">
    <w:name w:val="Heading 61"/>
    <w:basedOn w:val="Normal"/>
    <w:next w:val="Normal"/>
    <w:link w:val="Heading6Char1"/>
    <w:uiPriority w:val="9"/>
    <w:unhideWhenUsed/>
    <w:rsid w:val="0057062A"/>
    <w:pPr>
      <w:keepNext/>
      <w:keepLines/>
      <w:spacing w:before="40" w:after="0"/>
      <w:outlineLvl w:val="5"/>
    </w:pPr>
    <w:rPr>
      <w:rFonts w:ascii="Calibri Light" w:eastAsia="Yu Gothic Light" w:hAnsi="Calibri Light" w:cs="Tunga"/>
      <w:color w:val="01413D"/>
    </w:rPr>
  </w:style>
  <w:style w:type="paragraph" w:customStyle="1" w:styleId="Heading71">
    <w:name w:val="Heading 71"/>
    <w:basedOn w:val="Normal"/>
    <w:next w:val="Normal"/>
    <w:link w:val="Heading7Char1"/>
    <w:uiPriority w:val="9"/>
    <w:unhideWhenUsed/>
    <w:qFormat/>
    <w:rsid w:val="0057062A"/>
    <w:pPr>
      <w:keepNext/>
      <w:keepLines/>
      <w:spacing w:before="40" w:after="0"/>
      <w:outlineLvl w:val="6"/>
    </w:pPr>
    <w:rPr>
      <w:rFonts w:ascii="Calibri Light" w:eastAsia="Yu Gothic Light" w:hAnsi="Calibri Light" w:cs="Tunga"/>
      <w:i/>
      <w:iCs/>
      <w:color w:val="01413D"/>
    </w:rPr>
  </w:style>
  <w:style w:type="paragraph" w:customStyle="1" w:styleId="Heading81">
    <w:name w:val="Heading 81"/>
    <w:basedOn w:val="Normal"/>
    <w:next w:val="Normal"/>
    <w:link w:val="Heading8Char1"/>
    <w:uiPriority w:val="9"/>
    <w:unhideWhenUsed/>
    <w:qFormat/>
    <w:rsid w:val="0057062A"/>
    <w:pPr>
      <w:keepNext/>
      <w:keepLines/>
      <w:spacing w:before="40" w:after="0"/>
      <w:outlineLvl w:val="7"/>
    </w:pPr>
    <w:rPr>
      <w:rFonts w:ascii="Calibri Light" w:eastAsia="Yu Gothic Light" w:hAnsi="Calibri Light" w:cs="Tunga"/>
      <w:color w:val="272727"/>
      <w:sz w:val="21"/>
      <w:szCs w:val="21"/>
    </w:rPr>
  </w:style>
  <w:style w:type="paragraph" w:customStyle="1" w:styleId="Heading91">
    <w:name w:val="Heading 91"/>
    <w:basedOn w:val="Normal"/>
    <w:next w:val="Normal"/>
    <w:link w:val="Heading9Char1"/>
    <w:uiPriority w:val="9"/>
    <w:unhideWhenUsed/>
    <w:qFormat/>
    <w:rsid w:val="0057062A"/>
    <w:pPr>
      <w:keepNext/>
      <w:keepLines/>
      <w:spacing w:before="40" w:after="0"/>
      <w:outlineLvl w:val="8"/>
    </w:pPr>
    <w:rPr>
      <w:rFonts w:ascii="Calibri Light" w:eastAsia="Yu Gothic Light" w:hAnsi="Calibri Light" w:cs="Tunga"/>
      <w:i/>
      <w:iCs/>
      <w:color w:val="272727"/>
      <w:sz w:val="21"/>
      <w:szCs w:val="21"/>
    </w:rPr>
  </w:style>
  <w:style w:type="numbering" w:customStyle="1" w:styleId="NoList1">
    <w:name w:val="No List1"/>
    <w:next w:val="NoList"/>
    <w:uiPriority w:val="99"/>
    <w:semiHidden/>
    <w:unhideWhenUsed/>
    <w:rsid w:val="0057062A"/>
  </w:style>
  <w:style w:type="character" w:customStyle="1" w:styleId="FooterSensitivityChar">
    <w:name w:val="Footer Sensitivity Char"/>
    <w:basedOn w:val="DefaultParagraphFont"/>
    <w:link w:val="FooterSensitivity"/>
    <w:uiPriority w:val="39"/>
    <w:rsid w:val="0057062A"/>
    <w:rPr>
      <w:rFonts w:ascii="Times New Roman" w:hAnsi="Times New Roman" w:cs="Times New Roman"/>
      <w:b/>
      <w:sz w:val="32"/>
    </w:rPr>
  </w:style>
  <w:style w:type="character" w:customStyle="1" w:styleId="HeaderSensitivityChar">
    <w:name w:val="Header Sensitivity Char"/>
    <w:basedOn w:val="DefaultParagraphFont"/>
    <w:link w:val="HeaderSensitivity"/>
    <w:uiPriority w:val="39"/>
    <w:rsid w:val="0057062A"/>
    <w:rPr>
      <w:rFonts w:ascii="Times New Roman" w:hAnsi="Times New Roman" w:cs="Times New Roman"/>
      <w:b/>
      <w:sz w:val="32"/>
    </w:rPr>
  </w:style>
  <w:style w:type="character" w:customStyle="1" w:styleId="HeaderSensitivityRightChar">
    <w:name w:val="Header Sensitivity Right Char"/>
    <w:basedOn w:val="DefaultParagraphFont"/>
    <w:link w:val="HeaderSensitivityRight"/>
    <w:uiPriority w:val="39"/>
    <w:rsid w:val="0057062A"/>
    <w:rPr>
      <w:rFonts w:ascii="Times New Roman" w:hAnsi="Times New Roman" w:cs="Times New Roman"/>
      <w:sz w:val="28"/>
    </w:rPr>
  </w:style>
  <w:style w:type="character" w:customStyle="1" w:styleId="Heading5Char">
    <w:name w:val="Heading 5 Char"/>
    <w:basedOn w:val="DefaultParagraphFont"/>
    <w:rsid w:val="0057062A"/>
    <w:rPr>
      <w:rFonts w:ascii="Calibri Light" w:eastAsia="Times New Roman" w:hAnsi="Calibri Light" w:cs="Times New Roman"/>
      <w:color w:val="564A8C"/>
    </w:rPr>
  </w:style>
  <w:style w:type="character" w:customStyle="1" w:styleId="Heading6Char">
    <w:name w:val="Heading 6 Char"/>
    <w:basedOn w:val="DefaultParagraphFont"/>
    <w:rsid w:val="0057062A"/>
    <w:rPr>
      <w:rFonts w:ascii="Calibri Light" w:eastAsia="Times New Roman" w:hAnsi="Calibri Light" w:cs="Times New Roman"/>
      <w:color w:val="39315D"/>
    </w:rPr>
  </w:style>
  <w:style w:type="character" w:customStyle="1" w:styleId="Heading7Char">
    <w:name w:val="Heading 7 Char"/>
    <w:basedOn w:val="DefaultParagraphFont"/>
    <w:rsid w:val="0057062A"/>
    <w:rPr>
      <w:rFonts w:ascii="Calibri Light" w:eastAsia="Times New Roman" w:hAnsi="Calibri Light" w:cs="Times New Roman"/>
      <w:i/>
      <w:iCs/>
      <w:color w:val="39315D"/>
    </w:rPr>
  </w:style>
  <w:style w:type="character" w:customStyle="1" w:styleId="Heading8Char">
    <w:name w:val="Heading 8 Char"/>
    <w:basedOn w:val="DefaultParagraphFont"/>
    <w:rsid w:val="0057062A"/>
    <w:rPr>
      <w:rFonts w:ascii="Calibri Light" w:eastAsia="Times New Roman" w:hAnsi="Calibri Light" w:cs="Times New Roman"/>
      <w:color w:val="272727"/>
      <w:sz w:val="21"/>
      <w:szCs w:val="21"/>
    </w:rPr>
  </w:style>
  <w:style w:type="character" w:customStyle="1" w:styleId="Heading9Char">
    <w:name w:val="Heading 9 Char"/>
    <w:basedOn w:val="DefaultParagraphFont"/>
    <w:rsid w:val="0057062A"/>
    <w:rPr>
      <w:rFonts w:ascii="Calibri Light" w:eastAsia="Times New Roman" w:hAnsi="Calibri Light" w:cs="Times New Roman"/>
      <w:i/>
      <w:iCs/>
      <w:color w:val="272727"/>
      <w:sz w:val="21"/>
      <w:szCs w:val="21"/>
    </w:rPr>
  </w:style>
  <w:style w:type="character" w:customStyle="1" w:styleId="BodyPlaceholderText">
    <w:name w:val="BodyPlaceholderText"/>
    <w:uiPriority w:val="1"/>
    <w:semiHidden/>
    <w:rsid w:val="0057062A"/>
    <w:rPr>
      <w:noProof w:val="0"/>
      <w:color w:val="215E94"/>
      <w:shd w:val="clear" w:color="auto" w:fill="FFFFFF"/>
      <w:lang w:val="en-GB"/>
    </w:rPr>
  </w:style>
  <w:style w:type="character" w:customStyle="1" w:styleId="Bold">
    <w:name w:val="Bold"/>
    <w:rsid w:val="0057062A"/>
    <w:rPr>
      <w:b/>
      <w:noProof w:val="0"/>
      <w:lang w:val="en-GB"/>
    </w:rPr>
  </w:style>
  <w:style w:type="character" w:customStyle="1" w:styleId="BoldAccent1">
    <w:name w:val="Bold (Accent 1)"/>
    <w:rsid w:val="0057062A"/>
    <w:rPr>
      <w:b/>
      <w:noProof w:val="0"/>
      <w:color w:val="215E94"/>
      <w:lang w:val="en-GB"/>
    </w:rPr>
  </w:style>
  <w:style w:type="character" w:styleId="EndnoteReference">
    <w:name w:val="endnote reference"/>
    <w:basedOn w:val="FootnoteReference"/>
    <w:uiPriority w:val="8"/>
    <w:unhideWhenUsed/>
    <w:rsid w:val="0057062A"/>
    <w:rPr>
      <w:sz w:val="24"/>
      <w:shd w:val="clear" w:color="auto" w:fill="auto"/>
      <w:vertAlign w:val="superscript"/>
      <w:lang w:val="en-GB"/>
    </w:rPr>
  </w:style>
  <w:style w:type="character" w:customStyle="1" w:styleId="HyperlinkWhite">
    <w:name w:val="Hyperlink White"/>
    <w:basedOn w:val="Hyperlink"/>
    <w:unhideWhenUsed/>
    <w:rsid w:val="0057062A"/>
    <w:rPr>
      <w:noProof w:val="0"/>
      <w:color w:val="FFFFFF"/>
      <w:u w:val="single"/>
      <w:shd w:val="clear" w:color="auto" w:fill="auto"/>
      <w:lang w:val="en-GB"/>
    </w:rPr>
  </w:style>
  <w:style w:type="character" w:customStyle="1" w:styleId="langBG">
    <w:name w:val="lang_BG"/>
    <w:semiHidden/>
    <w:rsid w:val="0057062A"/>
    <w:rPr>
      <w:noProof w:val="0"/>
      <w:lang w:val="bg-BG"/>
    </w:rPr>
  </w:style>
  <w:style w:type="character" w:customStyle="1" w:styleId="langCS">
    <w:name w:val="lang_CS"/>
    <w:semiHidden/>
    <w:rsid w:val="0057062A"/>
    <w:rPr>
      <w:noProof w:val="0"/>
      <w:lang w:val="cs-CZ"/>
    </w:rPr>
  </w:style>
  <w:style w:type="character" w:customStyle="1" w:styleId="langDA">
    <w:name w:val="lang_DA"/>
    <w:semiHidden/>
    <w:rsid w:val="0057062A"/>
    <w:rPr>
      <w:noProof w:val="0"/>
      <w:lang w:val="da-DK"/>
    </w:rPr>
  </w:style>
  <w:style w:type="character" w:customStyle="1" w:styleId="langDE">
    <w:name w:val="lang_DE"/>
    <w:semiHidden/>
    <w:rsid w:val="0057062A"/>
    <w:rPr>
      <w:noProof w:val="0"/>
      <w:lang w:val="de-DE"/>
    </w:rPr>
  </w:style>
  <w:style w:type="character" w:customStyle="1" w:styleId="langEL">
    <w:name w:val="lang_EL"/>
    <w:semiHidden/>
    <w:rsid w:val="0057062A"/>
    <w:rPr>
      <w:noProof w:val="0"/>
      <w:lang w:val="el-GR"/>
    </w:rPr>
  </w:style>
  <w:style w:type="character" w:customStyle="1" w:styleId="langEN">
    <w:name w:val="lang_EN"/>
    <w:semiHidden/>
    <w:rsid w:val="0057062A"/>
    <w:rPr>
      <w:noProof w:val="0"/>
      <w:lang w:val="en-GB"/>
    </w:rPr>
  </w:style>
  <w:style w:type="character" w:customStyle="1" w:styleId="langES">
    <w:name w:val="lang_ES"/>
    <w:semiHidden/>
    <w:rsid w:val="0057062A"/>
    <w:rPr>
      <w:noProof w:val="0"/>
      <w:lang w:val="es-ES"/>
    </w:rPr>
  </w:style>
  <w:style w:type="character" w:customStyle="1" w:styleId="langET">
    <w:name w:val="lang_ET"/>
    <w:semiHidden/>
    <w:rsid w:val="0057062A"/>
    <w:rPr>
      <w:noProof w:val="0"/>
      <w:lang w:val="et-EE"/>
    </w:rPr>
  </w:style>
  <w:style w:type="character" w:customStyle="1" w:styleId="langFI">
    <w:name w:val="lang_FI"/>
    <w:semiHidden/>
    <w:rsid w:val="0057062A"/>
    <w:rPr>
      <w:noProof w:val="0"/>
      <w:lang w:val="fi-FI"/>
    </w:rPr>
  </w:style>
  <w:style w:type="character" w:customStyle="1" w:styleId="langFR">
    <w:name w:val="lang_FR"/>
    <w:semiHidden/>
    <w:rsid w:val="0057062A"/>
    <w:rPr>
      <w:noProof w:val="0"/>
      <w:lang w:val="fr-FR"/>
    </w:rPr>
  </w:style>
  <w:style w:type="character" w:customStyle="1" w:styleId="langGA">
    <w:name w:val="lang_GA"/>
    <w:semiHidden/>
    <w:rsid w:val="0057062A"/>
    <w:rPr>
      <w:noProof w:val="0"/>
      <w:lang w:val="ga-IE"/>
    </w:rPr>
  </w:style>
  <w:style w:type="character" w:customStyle="1" w:styleId="langHR">
    <w:name w:val="lang_HR"/>
    <w:semiHidden/>
    <w:rsid w:val="0057062A"/>
    <w:rPr>
      <w:noProof w:val="0"/>
      <w:lang w:val="hr-HR"/>
    </w:rPr>
  </w:style>
  <w:style w:type="character" w:customStyle="1" w:styleId="langHU">
    <w:name w:val="lang_HU"/>
    <w:semiHidden/>
    <w:rsid w:val="0057062A"/>
    <w:rPr>
      <w:noProof w:val="0"/>
      <w:lang w:val="hu-HU"/>
    </w:rPr>
  </w:style>
  <w:style w:type="character" w:customStyle="1" w:styleId="langIT">
    <w:name w:val="lang_IT"/>
    <w:semiHidden/>
    <w:rsid w:val="0057062A"/>
    <w:rPr>
      <w:noProof w:val="0"/>
      <w:lang w:val="it-IT"/>
    </w:rPr>
  </w:style>
  <w:style w:type="character" w:customStyle="1" w:styleId="langLT">
    <w:name w:val="lang_LT"/>
    <w:semiHidden/>
    <w:rsid w:val="0057062A"/>
    <w:rPr>
      <w:noProof w:val="0"/>
      <w:lang w:val="lt-LT"/>
    </w:rPr>
  </w:style>
  <w:style w:type="character" w:customStyle="1" w:styleId="langLV">
    <w:name w:val="lang_LV"/>
    <w:semiHidden/>
    <w:rsid w:val="0057062A"/>
    <w:rPr>
      <w:noProof w:val="0"/>
      <w:lang w:val="lv-LV"/>
    </w:rPr>
  </w:style>
  <w:style w:type="character" w:customStyle="1" w:styleId="langMT">
    <w:name w:val="lang_MT"/>
    <w:semiHidden/>
    <w:rsid w:val="0057062A"/>
    <w:rPr>
      <w:noProof w:val="0"/>
      <w:lang w:val="mt-MT"/>
    </w:rPr>
  </w:style>
  <w:style w:type="character" w:customStyle="1" w:styleId="langNL">
    <w:name w:val="lang_NL"/>
    <w:semiHidden/>
    <w:rsid w:val="0057062A"/>
    <w:rPr>
      <w:noProof w:val="0"/>
      <w:lang w:val="nl-NL"/>
    </w:rPr>
  </w:style>
  <w:style w:type="character" w:customStyle="1" w:styleId="langPL">
    <w:name w:val="lang_PL"/>
    <w:semiHidden/>
    <w:rsid w:val="0057062A"/>
    <w:rPr>
      <w:noProof w:val="0"/>
      <w:lang w:val="pl-PL"/>
    </w:rPr>
  </w:style>
  <w:style w:type="character" w:customStyle="1" w:styleId="langPT">
    <w:name w:val="lang_PT"/>
    <w:semiHidden/>
    <w:rsid w:val="0057062A"/>
    <w:rPr>
      <w:noProof w:val="0"/>
      <w:lang w:val="pt-PT"/>
    </w:rPr>
  </w:style>
  <w:style w:type="character" w:customStyle="1" w:styleId="langRO">
    <w:name w:val="lang_RO"/>
    <w:semiHidden/>
    <w:rsid w:val="0057062A"/>
    <w:rPr>
      <w:noProof w:val="0"/>
      <w:lang w:val="ro-RO"/>
    </w:rPr>
  </w:style>
  <w:style w:type="character" w:customStyle="1" w:styleId="langSK">
    <w:name w:val="lang_SK"/>
    <w:semiHidden/>
    <w:rsid w:val="0057062A"/>
    <w:rPr>
      <w:noProof w:val="0"/>
      <w:lang w:val="sk-SK"/>
    </w:rPr>
  </w:style>
  <w:style w:type="character" w:customStyle="1" w:styleId="langSL">
    <w:name w:val="lang_SL"/>
    <w:semiHidden/>
    <w:rsid w:val="0057062A"/>
    <w:rPr>
      <w:noProof w:val="0"/>
      <w:lang w:val="sl-SI"/>
    </w:rPr>
  </w:style>
  <w:style w:type="character" w:customStyle="1" w:styleId="langSV">
    <w:name w:val="lang_SV"/>
    <w:semiHidden/>
    <w:rsid w:val="0057062A"/>
    <w:rPr>
      <w:noProof w:val="0"/>
      <w:lang w:val="sv-SE"/>
    </w:rPr>
  </w:style>
  <w:style w:type="character" w:customStyle="1" w:styleId="langXX">
    <w:name w:val="lang_XX"/>
    <w:semiHidden/>
    <w:rsid w:val="0057062A"/>
    <w:rPr>
      <w:noProof w:val="0"/>
    </w:rPr>
  </w:style>
  <w:style w:type="character" w:customStyle="1" w:styleId="PlaceholderText1">
    <w:name w:val="Placeholder Text1"/>
    <w:uiPriority w:val="99"/>
    <w:semiHidden/>
    <w:rsid w:val="0057062A"/>
    <w:rPr>
      <w:noProof w:val="0"/>
      <w:color w:val="215E94"/>
      <w:shd w:val="clear" w:color="auto" w:fill="FFFFFF"/>
      <w:lang w:val="en-GB"/>
    </w:rPr>
  </w:style>
  <w:style w:type="paragraph" w:customStyle="1" w:styleId="BoxTitle">
    <w:name w:val="Box Title"/>
    <w:basedOn w:val="Normal"/>
    <w:next w:val="Normal"/>
    <w:uiPriority w:val="7"/>
    <w:rsid w:val="0057062A"/>
    <w:pPr>
      <w:spacing w:line="264" w:lineRule="auto"/>
    </w:pPr>
    <w:rPr>
      <w:rFonts w:eastAsia="Times New Roman" w:cs="Times New Roman"/>
      <w:b/>
      <w:kern w:val="0"/>
      <w:szCs w:val="20"/>
      <w:lang w:val="en-GB" w:eastAsia="en-GB"/>
      <w14:ligatures w14:val="none"/>
    </w:rPr>
  </w:style>
  <w:style w:type="paragraph" w:customStyle="1" w:styleId="Comment">
    <w:name w:val="Comment"/>
    <w:basedOn w:val="Normal"/>
    <w:uiPriority w:val="36"/>
    <w:semiHidden/>
    <w:rsid w:val="0057062A"/>
    <w:pPr>
      <w:shd w:val="thinDiagStripe" w:color="D9D9D9" w:fill="auto"/>
      <w:spacing w:line="264" w:lineRule="auto"/>
    </w:pPr>
    <w:rPr>
      <w:rFonts w:eastAsia="Times New Roman" w:cs="Times New Roman"/>
      <w:vanish/>
      <w:kern w:val="0"/>
      <w:szCs w:val="20"/>
      <w:lang w:val="en-GB" w:eastAsia="en-GB"/>
      <w14:ligatures w14:val="none"/>
    </w:rPr>
  </w:style>
  <w:style w:type="paragraph" w:customStyle="1" w:styleId="CopyrightPage">
    <w:name w:val="Copyright Page"/>
    <w:uiPriority w:val="40"/>
    <w:rsid w:val="0057062A"/>
    <w:pPr>
      <w:spacing w:before="240" w:after="240" w:line="264" w:lineRule="auto"/>
    </w:pPr>
    <w:rPr>
      <w:rFonts w:ascii="EC Square Sans Pro" w:eastAsia="Times New Roman" w:hAnsi="EC Square Sans Pro" w:cs="Times New Roman"/>
      <w:kern w:val="0"/>
      <w:szCs w:val="20"/>
      <w:lang w:val="en-GB" w:eastAsia="en-GB"/>
      <w14:ligatures w14:val="none"/>
    </w:rPr>
  </w:style>
  <w:style w:type="paragraph" w:customStyle="1" w:styleId="CopyrightPageIdentifier">
    <w:name w:val="Copyright Page Identifier"/>
    <w:basedOn w:val="CopyrightPage"/>
    <w:uiPriority w:val="40"/>
    <w:rsid w:val="0057062A"/>
    <w:pPr>
      <w:tabs>
        <w:tab w:val="left" w:pos="567"/>
        <w:tab w:val="left" w:pos="2835"/>
        <w:tab w:val="left" w:pos="4535"/>
        <w:tab w:val="left" w:pos="6520"/>
      </w:tabs>
      <w:contextualSpacing/>
    </w:pPr>
    <w:rPr>
      <w:sz w:val="20"/>
    </w:rPr>
  </w:style>
  <w:style w:type="paragraph" w:customStyle="1" w:styleId="CopyrightPageNoSpace">
    <w:name w:val="Copyright Page NoSpace"/>
    <w:basedOn w:val="CopyrightPage"/>
    <w:uiPriority w:val="40"/>
    <w:rsid w:val="0057062A"/>
    <w:pPr>
      <w:spacing w:before="0" w:after="0"/>
    </w:pPr>
  </w:style>
  <w:style w:type="paragraph" w:customStyle="1" w:styleId="FigureCopyrights">
    <w:name w:val="Figure Copyrights"/>
    <w:basedOn w:val="ImageCopyrights"/>
    <w:next w:val="FigureSource"/>
    <w:uiPriority w:val="5"/>
    <w:semiHidden/>
    <w:rsid w:val="0057062A"/>
  </w:style>
  <w:style w:type="paragraph" w:customStyle="1" w:styleId="FigurePlaceholder">
    <w:name w:val="Figure Placeholder"/>
    <w:basedOn w:val="ImagePlaceholder"/>
    <w:next w:val="FigureCopyrights"/>
    <w:uiPriority w:val="5"/>
    <w:semiHidden/>
    <w:rsid w:val="0057062A"/>
  </w:style>
  <w:style w:type="paragraph" w:customStyle="1" w:styleId="FigureSource">
    <w:name w:val="Figure Source"/>
    <w:basedOn w:val="ImageSource"/>
    <w:next w:val="Normal"/>
    <w:uiPriority w:val="5"/>
    <w:semiHidden/>
    <w:rsid w:val="0057062A"/>
  </w:style>
  <w:style w:type="paragraph" w:customStyle="1" w:styleId="FigureSubtitle">
    <w:name w:val="Figure Subtitle"/>
    <w:basedOn w:val="ImageSubtitle"/>
    <w:next w:val="FigurePlaceholder"/>
    <w:uiPriority w:val="5"/>
    <w:semiHidden/>
    <w:rsid w:val="0057062A"/>
  </w:style>
  <w:style w:type="paragraph" w:customStyle="1" w:styleId="FigureTitle">
    <w:name w:val="Figure Title"/>
    <w:basedOn w:val="ImageTitle"/>
    <w:next w:val="FigureSubtitle"/>
    <w:uiPriority w:val="5"/>
    <w:semiHidden/>
    <w:rsid w:val="0057062A"/>
  </w:style>
  <w:style w:type="paragraph" w:customStyle="1" w:styleId="FooterCover">
    <w:name w:val="Footer Cover"/>
    <w:uiPriority w:val="99"/>
    <w:semiHidden/>
    <w:rsid w:val="0057062A"/>
    <w:pPr>
      <w:spacing w:after="0" w:line="240" w:lineRule="auto"/>
    </w:pPr>
    <w:rPr>
      <w:rFonts w:ascii="EC Square Sans Pro" w:eastAsia="Times New Roman" w:hAnsi="EC Square Sans Pro" w:cs="Times New Roman"/>
      <w:color w:val="FFFFFF"/>
      <w:kern w:val="0"/>
      <w:sz w:val="18"/>
      <w:szCs w:val="20"/>
      <w:lang w:val="en-GB" w:eastAsia="en-GB"/>
      <w14:ligatures w14:val="none"/>
    </w:rPr>
  </w:style>
  <w:style w:type="paragraph" w:customStyle="1" w:styleId="FooterEven">
    <w:name w:val="Footer Even"/>
    <w:basedOn w:val="Footer"/>
    <w:uiPriority w:val="15"/>
    <w:semiHidden/>
    <w:rsid w:val="0057062A"/>
    <w:pPr>
      <w:tabs>
        <w:tab w:val="clear" w:pos="9921"/>
      </w:tabs>
      <w:spacing w:before="0"/>
      <w:ind w:left="0" w:right="0"/>
      <w:jc w:val="right"/>
    </w:pPr>
    <w:rPr>
      <w:rFonts w:ascii="EC Square Sans Pro" w:eastAsia="Times New Roman" w:hAnsi="EC Square Sans Pro"/>
      <w:kern w:val="0"/>
      <w:sz w:val="20"/>
      <w:szCs w:val="20"/>
      <w:lang w:eastAsia="en-GB"/>
      <w14:ligatures w14:val="none"/>
    </w:rPr>
  </w:style>
  <w:style w:type="paragraph" w:customStyle="1" w:styleId="FooterOdd">
    <w:name w:val="Footer Odd"/>
    <w:basedOn w:val="Footer"/>
    <w:uiPriority w:val="15"/>
    <w:semiHidden/>
    <w:rsid w:val="0057062A"/>
    <w:pPr>
      <w:tabs>
        <w:tab w:val="clear" w:pos="9921"/>
      </w:tabs>
      <w:spacing w:before="0"/>
      <w:ind w:left="0" w:right="0"/>
    </w:pPr>
    <w:rPr>
      <w:rFonts w:ascii="EC Square Sans Pro" w:eastAsia="Times New Roman" w:hAnsi="EC Square Sans Pro"/>
      <w:kern w:val="0"/>
      <w:sz w:val="20"/>
      <w:szCs w:val="20"/>
      <w:lang w:eastAsia="en-GB"/>
      <w14:ligatures w14:val="none"/>
    </w:rPr>
  </w:style>
  <w:style w:type="paragraph" w:customStyle="1" w:styleId="HeaderEven">
    <w:name w:val="Header Even"/>
    <w:basedOn w:val="Header"/>
    <w:uiPriority w:val="15"/>
    <w:semiHidden/>
    <w:rsid w:val="0057062A"/>
    <w:pPr>
      <w:spacing w:after="0"/>
      <w:jc w:val="right"/>
    </w:pPr>
    <w:rPr>
      <w:rFonts w:ascii="EC Square Sans Pro" w:eastAsia="Times New Roman" w:hAnsi="EC Square Sans Pro"/>
      <w:kern w:val="0"/>
      <w:sz w:val="20"/>
      <w:szCs w:val="20"/>
      <w:lang w:eastAsia="en-GB"/>
      <w14:ligatures w14:val="none"/>
    </w:rPr>
  </w:style>
  <w:style w:type="paragraph" w:customStyle="1" w:styleId="HeaderOdd">
    <w:name w:val="Header Odd"/>
    <w:basedOn w:val="Header"/>
    <w:uiPriority w:val="15"/>
    <w:semiHidden/>
    <w:rsid w:val="0057062A"/>
    <w:pPr>
      <w:spacing w:after="0"/>
      <w:jc w:val="left"/>
    </w:pPr>
    <w:rPr>
      <w:rFonts w:ascii="EC Square Sans Pro" w:eastAsia="Times New Roman" w:hAnsi="EC Square Sans Pro"/>
      <w:kern w:val="0"/>
      <w:sz w:val="20"/>
      <w:szCs w:val="20"/>
      <w:lang w:eastAsia="en-GB"/>
      <w14:ligatures w14:val="none"/>
    </w:rPr>
  </w:style>
  <w:style w:type="paragraph" w:customStyle="1" w:styleId="ImageAlternative">
    <w:name w:val="Image Alternative"/>
    <w:next w:val="ImageCaption"/>
    <w:uiPriority w:val="5"/>
    <w:rsid w:val="0057062A"/>
    <w:pPr>
      <w:keepNext/>
      <w:shd w:val="clear" w:color="auto" w:fill="C00000"/>
      <w:spacing w:before="40" w:after="240" w:line="281" w:lineRule="auto"/>
    </w:pPr>
    <w:rPr>
      <w:rFonts w:ascii="EC Square Sans Pro" w:eastAsia="Times New Roman" w:hAnsi="EC Square Sans Pro" w:cs="Times New Roman"/>
      <w:color w:val="FFFFFF"/>
      <w:kern w:val="0"/>
      <w:szCs w:val="20"/>
      <w:lang w:val="en-GB" w:eastAsia="en-GB"/>
      <w14:ligatures w14:val="none"/>
    </w:rPr>
  </w:style>
  <w:style w:type="paragraph" w:customStyle="1" w:styleId="ImageCaption">
    <w:name w:val="Image Caption"/>
    <w:next w:val="ImageCopyrights"/>
    <w:uiPriority w:val="5"/>
    <w:rsid w:val="0057062A"/>
    <w:pPr>
      <w:spacing w:after="0" w:line="264" w:lineRule="auto"/>
    </w:pPr>
    <w:rPr>
      <w:rFonts w:ascii="EC Square Sans Cond Pro Medium" w:eastAsia="Times New Roman" w:hAnsi="EC Square Sans Cond Pro Medium" w:cs="Times New Roman"/>
      <w:kern w:val="0"/>
      <w:sz w:val="16"/>
      <w:szCs w:val="20"/>
      <w:lang w:val="en-GB" w:eastAsia="en-GB"/>
      <w14:ligatures w14:val="none"/>
    </w:rPr>
  </w:style>
  <w:style w:type="paragraph" w:customStyle="1" w:styleId="ImageCopyrights">
    <w:name w:val="Image Copyrights"/>
    <w:next w:val="ImageSource"/>
    <w:uiPriority w:val="5"/>
    <w:rsid w:val="0057062A"/>
    <w:pPr>
      <w:keepNext/>
      <w:spacing w:after="0" w:line="264" w:lineRule="auto"/>
    </w:pPr>
    <w:rPr>
      <w:rFonts w:ascii="EC Square Sans Pro" w:eastAsia="Times New Roman" w:hAnsi="EC Square Sans Pro" w:cs="Times New Roman"/>
      <w:kern w:val="0"/>
      <w:sz w:val="16"/>
      <w:szCs w:val="20"/>
      <w:lang w:val="en-GB" w:eastAsia="en-GB"/>
      <w14:ligatures w14:val="none"/>
    </w:rPr>
  </w:style>
  <w:style w:type="paragraph" w:customStyle="1" w:styleId="ImagePlaceholder">
    <w:name w:val="Image Placeholder"/>
    <w:next w:val="ImageAlternative"/>
    <w:uiPriority w:val="5"/>
    <w:rsid w:val="0057062A"/>
    <w:pPr>
      <w:keepNext/>
      <w:spacing w:after="0" w:line="281" w:lineRule="auto"/>
      <w:jc w:val="center"/>
    </w:pPr>
    <w:rPr>
      <w:rFonts w:ascii="EC Square Sans Pro" w:eastAsia="Times New Roman" w:hAnsi="EC Square Sans Pro" w:cs="Times New Roman"/>
      <w:kern w:val="0"/>
      <w:sz w:val="20"/>
      <w:szCs w:val="20"/>
      <w:lang w:val="en-GB" w:eastAsia="en-GB"/>
      <w14:ligatures w14:val="none"/>
    </w:rPr>
  </w:style>
  <w:style w:type="paragraph" w:customStyle="1" w:styleId="ImageSource">
    <w:name w:val="Image Source"/>
    <w:next w:val="Normal"/>
    <w:uiPriority w:val="5"/>
    <w:rsid w:val="0057062A"/>
    <w:pPr>
      <w:keepNext/>
      <w:spacing w:after="0" w:line="240" w:lineRule="auto"/>
    </w:pPr>
    <w:rPr>
      <w:rFonts w:ascii="EC Square Sans Pro" w:eastAsia="Times New Roman" w:hAnsi="EC Square Sans Pro" w:cs="Times New Roman"/>
      <w:kern w:val="0"/>
      <w:sz w:val="16"/>
      <w:szCs w:val="20"/>
      <w:lang w:val="en-GB" w:eastAsia="en-GB"/>
      <w14:ligatures w14:val="none"/>
    </w:rPr>
  </w:style>
  <w:style w:type="paragraph" w:customStyle="1" w:styleId="ImageSubtitle">
    <w:name w:val="Image Subtitle"/>
    <w:next w:val="ImagePlaceholder"/>
    <w:uiPriority w:val="5"/>
    <w:rsid w:val="0057062A"/>
    <w:pPr>
      <w:keepNext/>
      <w:spacing w:after="240" w:line="281" w:lineRule="auto"/>
    </w:pPr>
    <w:rPr>
      <w:rFonts w:ascii="EC Square Sans Pro" w:eastAsia="Times New Roman" w:hAnsi="EC Square Sans Pro" w:cs="Times New Roman"/>
      <w:color w:val="7A6DB2"/>
      <w:kern w:val="0"/>
      <w:sz w:val="20"/>
      <w:szCs w:val="20"/>
      <w:lang w:val="en-GB" w:eastAsia="en-GB"/>
      <w14:ligatures w14:val="none"/>
    </w:rPr>
  </w:style>
  <w:style w:type="paragraph" w:customStyle="1" w:styleId="ImageTitle">
    <w:name w:val="Image Title"/>
    <w:next w:val="ImageSubtitle"/>
    <w:uiPriority w:val="5"/>
    <w:rsid w:val="0057062A"/>
    <w:pPr>
      <w:keepNext/>
      <w:spacing w:before="360" w:after="0" w:line="264" w:lineRule="auto"/>
    </w:pPr>
    <w:rPr>
      <w:rFonts w:ascii="EC Square Sans Pro" w:eastAsia="Times New Roman" w:hAnsi="EC Square Sans Pro" w:cs="Times New Roman"/>
      <w:b/>
      <w:color w:val="7A6DB2"/>
      <w:kern w:val="0"/>
      <w:sz w:val="20"/>
      <w:szCs w:val="20"/>
      <w:lang w:val="en-GB" w:eastAsia="en-GB"/>
      <w14:ligatures w14:val="none"/>
    </w:rPr>
  </w:style>
  <w:style w:type="paragraph" w:styleId="Index1">
    <w:name w:val="index 1"/>
    <w:basedOn w:val="Normal"/>
    <w:next w:val="Normal"/>
    <w:uiPriority w:val="39"/>
    <w:semiHidden/>
    <w:rsid w:val="0057062A"/>
    <w:pPr>
      <w:spacing w:after="0" w:line="240" w:lineRule="auto"/>
      <w:ind w:left="238" w:hanging="238"/>
    </w:pPr>
    <w:rPr>
      <w:rFonts w:eastAsia="Times New Roman" w:cs="Times New Roman"/>
      <w:kern w:val="0"/>
      <w:szCs w:val="20"/>
      <w:lang w:val="en-GB" w:eastAsia="en-GB"/>
      <w14:ligatures w14:val="none"/>
    </w:rPr>
  </w:style>
  <w:style w:type="paragraph" w:styleId="Index2">
    <w:name w:val="index 2"/>
    <w:basedOn w:val="Normal"/>
    <w:next w:val="Normal"/>
    <w:uiPriority w:val="39"/>
    <w:semiHidden/>
    <w:rsid w:val="0057062A"/>
    <w:pPr>
      <w:spacing w:after="0" w:line="240" w:lineRule="auto"/>
      <w:ind w:left="476" w:hanging="238"/>
    </w:pPr>
    <w:rPr>
      <w:rFonts w:eastAsia="Times New Roman" w:cs="Times New Roman"/>
      <w:kern w:val="0"/>
      <w:szCs w:val="20"/>
      <w:lang w:val="en-GB" w:eastAsia="en-GB"/>
      <w14:ligatures w14:val="none"/>
    </w:rPr>
  </w:style>
  <w:style w:type="paragraph" w:styleId="Index3">
    <w:name w:val="index 3"/>
    <w:basedOn w:val="Normal"/>
    <w:next w:val="Normal"/>
    <w:uiPriority w:val="39"/>
    <w:semiHidden/>
    <w:rsid w:val="0057062A"/>
    <w:pPr>
      <w:spacing w:after="0" w:line="240" w:lineRule="auto"/>
      <w:ind w:left="720" w:hanging="238"/>
    </w:pPr>
    <w:rPr>
      <w:rFonts w:eastAsia="Times New Roman" w:cs="Times New Roman"/>
      <w:kern w:val="0"/>
      <w:szCs w:val="20"/>
      <w:lang w:val="en-GB" w:eastAsia="en-GB"/>
      <w14:ligatures w14:val="none"/>
    </w:rPr>
  </w:style>
  <w:style w:type="paragraph" w:styleId="Index4">
    <w:name w:val="index 4"/>
    <w:basedOn w:val="Normal"/>
    <w:next w:val="Normal"/>
    <w:uiPriority w:val="39"/>
    <w:semiHidden/>
    <w:rsid w:val="0057062A"/>
    <w:pPr>
      <w:spacing w:after="0" w:line="240" w:lineRule="auto"/>
      <w:ind w:left="958" w:hanging="238"/>
    </w:pPr>
    <w:rPr>
      <w:rFonts w:eastAsia="Times New Roman" w:cs="Times New Roman"/>
      <w:kern w:val="0"/>
      <w:szCs w:val="20"/>
      <w:lang w:val="en-GB" w:eastAsia="en-GB"/>
      <w14:ligatures w14:val="none"/>
    </w:rPr>
  </w:style>
  <w:style w:type="paragraph" w:styleId="Index5">
    <w:name w:val="index 5"/>
    <w:basedOn w:val="Normal"/>
    <w:next w:val="Normal"/>
    <w:uiPriority w:val="39"/>
    <w:semiHidden/>
    <w:rsid w:val="0057062A"/>
    <w:pPr>
      <w:spacing w:after="0" w:line="240" w:lineRule="auto"/>
      <w:ind w:left="1196" w:hanging="238"/>
    </w:pPr>
    <w:rPr>
      <w:rFonts w:eastAsia="Times New Roman" w:cs="Times New Roman"/>
      <w:kern w:val="0"/>
      <w:szCs w:val="20"/>
      <w:lang w:val="en-GB" w:eastAsia="en-GB"/>
      <w14:ligatures w14:val="none"/>
    </w:rPr>
  </w:style>
  <w:style w:type="paragraph" w:styleId="Index6">
    <w:name w:val="index 6"/>
    <w:basedOn w:val="Normal"/>
    <w:next w:val="Normal"/>
    <w:uiPriority w:val="39"/>
    <w:semiHidden/>
    <w:rsid w:val="0057062A"/>
    <w:pPr>
      <w:spacing w:after="0" w:line="240" w:lineRule="auto"/>
      <w:ind w:left="1440" w:hanging="238"/>
    </w:pPr>
    <w:rPr>
      <w:rFonts w:eastAsia="Times New Roman" w:cs="Times New Roman"/>
      <w:kern w:val="0"/>
      <w:szCs w:val="20"/>
      <w:lang w:val="en-GB" w:eastAsia="en-GB"/>
      <w14:ligatures w14:val="none"/>
    </w:rPr>
  </w:style>
  <w:style w:type="paragraph" w:styleId="Index7">
    <w:name w:val="index 7"/>
    <w:basedOn w:val="Normal"/>
    <w:next w:val="Normal"/>
    <w:uiPriority w:val="39"/>
    <w:semiHidden/>
    <w:rsid w:val="0057062A"/>
    <w:pPr>
      <w:spacing w:after="0" w:line="240" w:lineRule="auto"/>
      <w:ind w:left="1678" w:hanging="238"/>
    </w:pPr>
    <w:rPr>
      <w:rFonts w:eastAsia="Times New Roman" w:cs="Times New Roman"/>
      <w:kern w:val="0"/>
      <w:szCs w:val="20"/>
      <w:lang w:val="en-GB" w:eastAsia="en-GB"/>
      <w14:ligatures w14:val="none"/>
    </w:rPr>
  </w:style>
  <w:style w:type="paragraph" w:styleId="Index8">
    <w:name w:val="index 8"/>
    <w:basedOn w:val="Normal"/>
    <w:next w:val="Normal"/>
    <w:uiPriority w:val="39"/>
    <w:semiHidden/>
    <w:rsid w:val="0057062A"/>
    <w:pPr>
      <w:spacing w:after="0" w:line="240" w:lineRule="auto"/>
      <w:ind w:left="1916" w:hanging="238"/>
    </w:pPr>
    <w:rPr>
      <w:rFonts w:eastAsia="Times New Roman" w:cs="Times New Roman"/>
      <w:kern w:val="0"/>
      <w:szCs w:val="20"/>
      <w:lang w:val="en-GB" w:eastAsia="en-GB"/>
      <w14:ligatures w14:val="none"/>
    </w:rPr>
  </w:style>
  <w:style w:type="paragraph" w:styleId="Index9">
    <w:name w:val="index 9"/>
    <w:basedOn w:val="Normal"/>
    <w:next w:val="Normal"/>
    <w:uiPriority w:val="39"/>
    <w:semiHidden/>
    <w:rsid w:val="0057062A"/>
    <w:pPr>
      <w:spacing w:after="0" w:line="240" w:lineRule="auto"/>
      <w:ind w:left="2160" w:hanging="238"/>
    </w:pPr>
    <w:rPr>
      <w:rFonts w:eastAsia="Times New Roman" w:cs="Times New Roman"/>
      <w:kern w:val="0"/>
      <w:szCs w:val="20"/>
      <w:lang w:val="en-GB" w:eastAsia="en-GB"/>
      <w14:ligatures w14:val="none"/>
    </w:rPr>
  </w:style>
  <w:style w:type="paragraph" w:customStyle="1" w:styleId="IndexHeading1">
    <w:name w:val="Index Heading1"/>
    <w:basedOn w:val="Normal"/>
    <w:next w:val="Normal"/>
    <w:uiPriority w:val="39"/>
    <w:semiHidden/>
    <w:rsid w:val="0057062A"/>
    <w:pPr>
      <w:spacing w:line="264" w:lineRule="auto"/>
    </w:pPr>
    <w:rPr>
      <w:rFonts w:eastAsia="Times New Roman" w:cs="Times New Roman"/>
      <w:b/>
      <w:color w:val="215E94"/>
      <w:kern w:val="0"/>
      <w:szCs w:val="20"/>
      <w:lang w:val="en-GB" w:eastAsia="en-GB"/>
      <w14:ligatures w14:val="none"/>
    </w:rPr>
  </w:style>
  <w:style w:type="paragraph" w:customStyle="1" w:styleId="LayoutComment">
    <w:name w:val="Layout Comment"/>
    <w:basedOn w:val="Normal"/>
    <w:uiPriority w:val="17"/>
    <w:rsid w:val="0057062A"/>
    <w:pPr>
      <w:pBdr>
        <w:top w:val="single" w:sz="48" w:space="31" w:color="595959"/>
        <w:left w:val="single" w:sz="48" w:space="31" w:color="595959"/>
        <w:bottom w:val="single" w:sz="48" w:space="31" w:color="595959"/>
        <w:right w:val="single" w:sz="48" w:space="31" w:color="595959"/>
      </w:pBdr>
      <w:shd w:val="clear" w:color="auto" w:fill="595959"/>
      <w:spacing w:line="264" w:lineRule="auto"/>
      <w:ind w:left="-658" w:right="-680"/>
    </w:pPr>
    <w:rPr>
      <w:rFonts w:eastAsia="Times New Roman" w:cs="Times New Roman"/>
      <w:color w:val="FFFFFF"/>
      <w:kern w:val="0"/>
      <w:szCs w:val="20"/>
      <w:lang w:val="en-GB" w:eastAsia="en-GB"/>
      <w14:ligatures w14:val="none"/>
    </w:rPr>
  </w:style>
  <w:style w:type="paragraph" w:customStyle="1" w:styleId="Listabc">
    <w:name w:val="List abc"/>
    <w:uiPriority w:val="3"/>
    <w:qFormat/>
    <w:rsid w:val="0057062A"/>
    <w:pPr>
      <w:numPr>
        <w:numId w:val="32"/>
      </w:numPr>
      <w:spacing w:before="60" w:after="6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abcLevel2">
    <w:name w:val="List abc (Level 2)"/>
    <w:uiPriority w:val="3"/>
    <w:rsid w:val="0057062A"/>
    <w:pPr>
      <w:numPr>
        <w:ilvl w:val="1"/>
        <w:numId w:val="32"/>
      </w:numPr>
      <w:spacing w:before="60" w:after="6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abcLevel3">
    <w:name w:val="List abc (Level 3)"/>
    <w:uiPriority w:val="3"/>
    <w:unhideWhenUsed/>
    <w:qFormat/>
    <w:rsid w:val="0057062A"/>
    <w:pPr>
      <w:numPr>
        <w:ilvl w:val="2"/>
        <w:numId w:val="32"/>
      </w:numPr>
      <w:spacing w:before="60" w:after="6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abcLevel4">
    <w:name w:val="List abc (Level 4)"/>
    <w:uiPriority w:val="3"/>
    <w:semiHidden/>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BulletLevel2">
    <w:name w:val="List Bullet (Level 2)"/>
    <w:uiPriority w:val="3"/>
    <w:rsid w:val="0057062A"/>
    <w:pPr>
      <w:tabs>
        <w:tab w:val="num" w:pos="1191"/>
      </w:tabs>
      <w:spacing w:before="60" w:after="60" w:line="264" w:lineRule="auto"/>
      <w:ind w:left="1587" w:hanging="396"/>
    </w:pPr>
    <w:rPr>
      <w:rFonts w:ascii="EC Square Sans Pro" w:eastAsia="Times New Roman" w:hAnsi="EC Square Sans Pro" w:cs="Times New Roman"/>
      <w:kern w:val="0"/>
      <w:sz w:val="20"/>
      <w:szCs w:val="20"/>
      <w:lang w:val="en-GB" w:eastAsia="en-GB"/>
      <w14:ligatures w14:val="none"/>
    </w:rPr>
  </w:style>
  <w:style w:type="paragraph" w:customStyle="1" w:styleId="ListBulletLevel3">
    <w:name w:val="List Bullet (Level 3)"/>
    <w:uiPriority w:val="3"/>
    <w:unhideWhenUsed/>
    <w:rsid w:val="0057062A"/>
    <w:pPr>
      <w:tabs>
        <w:tab w:val="num" w:pos="1984"/>
      </w:tabs>
      <w:spacing w:before="60" w:after="60" w:line="264" w:lineRule="auto"/>
      <w:ind w:left="2381" w:hanging="397"/>
    </w:pPr>
    <w:rPr>
      <w:rFonts w:ascii="EC Square Sans Pro" w:eastAsia="Times New Roman" w:hAnsi="EC Square Sans Pro" w:cs="Times New Roman"/>
      <w:kern w:val="0"/>
      <w:sz w:val="20"/>
      <w:szCs w:val="20"/>
      <w:lang w:val="en-GB" w:eastAsia="en-GB"/>
      <w14:ligatures w14:val="none"/>
    </w:rPr>
  </w:style>
  <w:style w:type="paragraph" w:customStyle="1" w:styleId="ListBulletLevel4">
    <w:name w:val="List Bullet (Level 4)"/>
    <w:uiPriority w:val="3"/>
    <w:unhideWhenUsed/>
    <w:rsid w:val="0057062A"/>
    <w:pPr>
      <w:tabs>
        <w:tab w:val="num" w:pos="2665"/>
      </w:tabs>
      <w:spacing w:before="60" w:after="60" w:line="264" w:lineRule="auto"/>
      <w:ind w:left="3005" w:hanging="340"/>
    </w:pPr>
    <w:rPr>
      <w:rFonts w:ascii="EC Square Sans Pro" w:eastAsia="Times New Roman" w:hAnsi="EC Square Sans Pro" w:cs="Times New Roman"/>
      <w:kern w:val="0"/>
      <w:sz w:val="20"/>
      <w:szCs w:val="20"/>
      <w:lang w:val="en-GB" w:eastAsia="en-GB"/>
      <w14:ligatures w14:val="none"/>
    </w:rPr>
  </w:style>
  <w:style w:type="paragraph" w:customStyle="1" w:styleId="ListBulletLevel5">
    <w:name w:val="List Bullet (Level 5)"/>
    <w:uiPriority w:val="3"/>
    <w:semiHidden/>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Mixed">
    <w:name w:val="List Mixed"/>
    <w:uiPriority w:val="3"/>
    <w:qFormat/>
    <w:rsid w:val="0057062A"/>
    <w:pPr>
      <w:numPr>
        <w:numId w:val="35"/>
      </w:numPr>
      <w:spacing w:before="60" w:after="6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MixedLevel2">
    <w:name w:val="List Mixed (Level 2)"/>
    <w:uiPriority w:val="3"/>
    <w:qFormat/>
    <w:rsid w:val="0057062A"/>
    <w:pPr>
      <w:numPr>
        <w:ilvl w:val="1"/>
        <w:numId w:val="35"/>
      </w:numPr>
      <w:spacing w:before="60" w:after="6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MixedLevel3">
    <w:name w:val="List Mixed (Level 3)"/>
    <w:uiPriority w:val="3"/>
    <w:unhideWhenUsed/>
    <w:qFormat/>
    <w:rsid w:val="0057062A"/>
    <w:pPr>
      <w:numPr>
        <w:ilvl w:val="2"/>
        <w:numId w:val="35"/>
      </w:numPr>
      <w:spacing w:before="60" w:after="6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MixedLevel4">
    <w:name w:val="List Mixed (Level 4)"/>
    <w:uiPriority w:val="3"/>
    <w:semiHidden/>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NumberLevel2">
    <w:name w:val="List Number (Level 2)"/>
    <w:basedOn w:val="ListNumber"/>
    <w:rsid w:val="0057062A"/>
    <w:pPr>
      <w:numPr>
        <w:numId w:val="0"/>
      </w:numPr>
      <w:spacing w:before="60" w:after="60" w:line="264" w:lineRule="auto"/>
      <w:ind w:left="1587" w:hanging="510"/>
      <w:contextualSpacing w:val="0"/>
      <w:jc w:val="left"/>
    </w:pPr>
    <w:rPr>
      <w:rFonts w:ascii="EC Square Sans Pro" w:eastAsia="Times New Roman" w:hAnsi="EC Square Sans Pro"/>
      <w:kern w:val="0"/>
      <w:sz w:val="20"/>
      <w:szCs w:val="20"/>
      <w:lang w:eastAsia="en-GB"/>
      <w14:ligatures w14:val="none"/>
    </w:rPr>
  </w:style>
  <w:style w:type="paragraph" w:customStyle="1" w:styleId="ListNumberLevel3">
    <w:name w:val="List Number (Level 3)"/>
    <w:basedOn w:val="ListNumber"/>
    <w:unhideWhenUsed/>
    <w:rsid w:val="0057062A"/>
    <w:pPr>
      <w:numPr>
        <w:numId w:val="0"/>
      </w:numPr>
      <w:spacing w:before="60" w:after="60" w:line="264" w:lineRule="auto"/>
      <w:ind w:left="2381" w:hanging="680"/>
      <w:contextualSpacing w:val="0"/>
      <w:jc w:val="left"/>
    </w:pPr>
    <w:rPr>
      <w:rFonts w:ascii="EC Square Sans Pro" w:eastAsia="Times New Roman" w:hAnsi="EC Square Sans Pro"/>
      <w:kern w:val="0"/>
      <w:sz w:val="20"/>
      <w:szCs w:val="20"/>
      <w:lang w:eastAsia="en-GB"/>
      <w14:ligatures w14:val="none"/>
    </w:rPr>
  </w:style>
  <w:style w:type="paragraph" w:customStyle="1" w:styleId="ListNumberLevel4">
    <w:name w:val="List Number (Level 4)"/>
    <w:basedOn w:val="ListNumber"/>
    <w:unhideWhenUsed/>
    <w:rsid w:val="0057062A"/>
    <w:pPr>
      <w:numPr>
        <w:numId w:val="0"/>
      </w:numPr>
      <w:spacing w:before="60" w:after="60" w:line="264" w:lineRule="auto"/>
      <w:ind w:left="3175" w:hanging="794"/>
      <w:contextualSpacing w:val="0"/>
      <w:jc w:val="left"/>
    </w:pPr>
    <w:rPr>
      <w:rFonts w:ascii="EC Square Sans Pro" w:eastAsia="Times New Roman" w:hAnsi="EC Square Sans Pro"/>
      <w:kern w:val="0"/>
      <w:sz w:val="20"/>
      <w:szCs w:val="20"/>
      <w:lang w:eastAsia="en-GB"/>
      <w14:ligatures w14:val="none"/>
    </w:rPr>
  </w:style>
  <w:style w:type="paragraph" w:customStyle="1" w:styleId="ListNumberLevel5">
    <w:name w:val="List Number (Level 5)"/>
    <w:basedOn w:val="ListNumber"/>
    <w:uiPriority w:val="3"/>
    <w:semiHidden/>
    <w:rsid w:val="0057062A"/>
    <w:pPr>
      <w:numPr>
        <w:numId w:val="0"/>
      </w:numPr>
      <w:spacing w:before="60" w:after="60" w:line="264" w:lineRule="auto"/>
      <w:ind w:left="794" w:hanging="397"/>
      <w:contextualSpacing w:val="0"/>
      <w:jc w:val="left"/>
    </w:pPr>
    <w:rPr>
      <w:rFonts w:ascii="EC Square Sans Pro" w:eastAsia="Times New Roman" w:hAnsi="EC Square Sans Pro"/>
      <w:kern w:val="0"/>
      <w:sz w:val="20"/>
      <w:szCs w:val="20"/>
      <w:lang w:eastAsia="en-GB"/>
      <w14:ligatures w14:val="none"/>
    </w:rPr>
  </w:style>
  <w:style w:type="paragraph" w:customStyle="1" w:styleId="ListNumberNonindented">
    <w:name w:val="List Number Nonindented"/>
    <w:uiPriority w:val="3"/>
    <w:qFormat/>
    <w:rsid w:val="0057062A"/>
    <w:pPr>
      <w:numPr>
        <w:numId w:val="37"/>
      </w:numPr>
      <w:spacing w:before="60" w:after="6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NumberNonindentedLevel2">
    <w:name w:val="List Number Nonindented (Level 2)"/>
    <w:uiPriority w:val="3"/>
    <w:qFormat/>
    <w:rsid w:val="0057062A"/>
    <w:pPr>
      <w:numPr>
        <w:ilvl w:val="1"/>
        <w:numId w:val="37"/>
      </w:numPr>
      <w:spacing w:before="60" w:after="6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NumberNonindentedLevel3">
    <w:name w:val="List Number Nonindented (Level 3)"/>
    <w:uiPriority w:val="3"/>
    <w:unhideWhenUsed/>
    <w:qFormat/>
    <w:rsid w:val="0057062A"/>
    <w:pPr>
      <w:numPr>
        <w:ilvl w:val="2"/>
        <w:numId w:val="37"/>
      </w:numPr>
      <w:spacing w:before="60" w:after="6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NumberNonindentedLevel4">
    <w:name w:val="List Number Nonindented (Level 4)"/>
    <w:uiPriority w:val="3"/>
    <w:unhideWhenUsed/>
    <w:qFormat/>
    <w:rsid w:val="0057062A"/>
    <w:pPr>
      <w:numPr>
        <w:ilvl w:val="3"/>
        <w:numId w:val="37"/>
      </w:numPr>
      <w:spacing w:before="60" w:after="60" w:line="264" w:lineRule="auto"/>
    </w:pPr>
    <w:rPr>
      <w:rFonts w:ascii="EC Square Sans Pro" w:eastAsia="Times New Roman" w:hAnsi="EC Square Sans Pro" w:cs="Times New Roman"/>
      <w:kern w:val="0"/>
      <w:sz w:val="20"/>
      <w:szCs w:val="20"/>
      <w:lang w:val="en-GB" w:eastAsia="en-GB"/>
      <w14:ligatures w14:val="none"/>
    </w:rPr>
  </w:style>
  <w:style w:type="paragraph" w:customStyle="1" w:styleId="ListNumberNonindentedLevel5">
    <w:name w:val="List Number Nonindented (Level 5)"/>
    <w:uiPriority w:val="3"/>
    <w:semiHidden/>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style>
  <w:style w:type="paragraph" w:styleId="MacroText">
    <w:name w:val="macro"/>
    <w:link w:val="MacroTextChar"/>
    <w:uiPriority w:val="39"/>
    <w:semiHidden/>
    <w:rsid w:val="0057062A"/>
    <w:pPr>
      <w:tabs>
        <w:tab w:val="left" w:pos="505"/>
        <w:tab w:val="left" w:pos="958"/>
        <w:tab w:val="left" w:pos="1440"/>
        <w:tab w:val="left" w:pos="1922"/>
        <w:tab w:val="left" w:pos="2398"/>
        <w:tab w:val="left" w:pos="2880"/>
        <w:tab w:val="left" w:pos="3362"/>
        <w:tab w:val="left" w:pos="3838"/>
        <w:tab w:val="left" w:pos="4320"/>
      </w:tabs>
      <w:spacing w:before="240" w:after="0" w:line="264" w:lineRule="auto"/>
    </w:pPr>
    <w:rPr>
      <w:rFonts w:ascii="EC Square Sans Pro" w:eastAsia="Times New Roman" w:hAnsi="EC Square Sans Pro" w:cs="Times New Roman"/>
      <w:kern w:val="0"/>
      <w:sz w:val="20"/>
      <w:szCs w:val="20"/>
      <w:lang w:val="en-GB" w:eastAsia="en-GB"/>
      <w14:ligatures w14:val="none"/>
    </w:rPr>
  </w:style>
  <w:style w:type="character" w:customStyle="1" w:styleId="MacroTextChar">
    <w:name w:val="Macro Text Char"/>
    <w:basedOn w:val="DefaultParagraphFont"/>
    <w:link w:val="MacroText"/>
    <w:uiPriority w:val="39"/>
    <w:semiHidden/>
    <w:rsid w:val="0057062A"/>
    <w:rPr>
      <w:rFonts w:ascii="EC Square Sans Pro" w:eastAsia="Times New Roman" w:hAnsi="EC Square Sans Pro" w:cs="Times New Roman"/>
      <w:kern w:val="0"/>
      <w:sz w:val="20"/>
      <w:szCs w:val="20"/>
      <w:lang w:val="en-GB" w:eastAsia="en-GB"/>
      <w14:ligatures w14:val="none"/>
    </w:rPr>
  </w:style>
  <w:style w:type="paragraph" w:styleId="NoSpacing">
    <w:name w:val="No Spacing"/>
    <w:uiPriority w:val="2"/>
    <w:rsid w:val="0057062A"/>
    <w:pPr>
      <w:spacing w:after="0" w:line="240" w:lineRule="auto"/>
    </w:pPr>
    <w:rPr>
      <w:rFonts w:ascii="EC Square Sans Pro" w:eastAsia="Times New Roman" w:hAnsi="EC Square Sans Pro" w:cs="Times New Roman"/>
      <w:kern w:val="0"/>
      <w:sz w:val="20"/>
      <w:szCs w:val="20"/>
      <w:lang w:val="en-GB" w:eastAsia="en-GB"/>
      <w14:ligatures w14:val="none"/>
    </w:rPr>
  </w:style>
  <w:style w:type="paragraph" w:customStyle="1" w:styleId="NormalIntro">
    <w:name w:val="Normal Intro"/>
    <w:basedOn w:val="Normal"/>
    <w:uiPriority w:val="2"/>
    <w:unhideWhenUsed/>
    <w:rsid w:val="0057062A"/>
    <w:pPr>
      <w:spacing w:before="120" w:after="120" w:line="264" w:lineRule="auto"/>
    </w:pPr>
    <w:rPr>
      <w:rFonts w:eastAsia="Times New Roman" w:cs="Times New Roman"/>
      <w:color w:val="215E94"/>
      <w:kern w:val="0"/>
      <w:szCs w:val="20"/>
      <w:lang w:val="en-GB" w:eastAsia="en-GB"/>
      <w14:ligatures w14:val="none"/>
    </w:rPr>
  </w:style>
  <w:style w:type="paragraph" w:customStyle="1" w:styleId="NormalLeftAligned">
    <w:name w:val="Normal Left Aligned"/>
    <w:basedOn w:val="Normal"/>
    <w:uiPriority w:val="1"/>
    <w:semiHidden/>
    <w:unhideWhenUsed/>
    <w:rsid w:val="0057062A"/>
    <w:pPr>
      <w:spacing w:line="264" w:lineRule="auto"/>
    </w:pPr>
    <w:rPr>
      <w:rFonts w:eastAsia="Times New Roman" w:cs="Times New Roman"/>
      <w:kern w:val="0"/>
      <w:szCs w:val="20"/>
      <w:lang w:val="en-GB" w:eastAsia="en-GB"/>
      <w14:ligatures w14:val="none"/>
    </w:rPr>
  </w:style>
  <w:style w:type="paragraph" w:customStyle="1" w:styleId="ObjectiveTableAdditonalText">
    <w:name w:val="Objective Table Additonal Text"/>
    <w:basedOn w:val="ObjectiveTableTitle"/>
    <w:uiPriority w:val="70"/>
    <w:semiHidden/>
    <w:rsid w:val="0057062A"/>
    <w:pPr>
      <w:jc w:val="right"/>
    </w:pPr>
    <w:rPr>
      <w:b w:val="0"/>
      <w:i/>
    </w:rPr>
  </w:style>
  <w:style w:type="paragraph" w:customStyle="1" w:styleId="ObjectiveTableGeneralObjectiveTitle">
    <w:name w:val="Objective Table General Objective Title"/>
    <w:basedOn w:val="ObjectiveTableTitle"/>
    <w:uiPriority w:val="70"/>
    <w:semiHidden/>
    <w:rsid w:val="0057062A"/>
    <w:pPr>
      <w:tabs>
        <w:tab w:val="left" w:pos="2494"/>
      </w:tabs>
    </w:pPr>
  </w:style>
  <w:style w:type="paragraph" w:customStyle="1" w:styleId="ObjectiveTableIndicatorTitle">
    <w:name w:val="Objective Table Indicator Title"/>
    <w:basedOn w:val="ObjectiveTableTitle"/>
    <w:uiPriority w:val="70"/>
    <w:semiHidden/>
    <w:rsid w:val="0057062A"/>
    <w:pPr>
      <w:shd w:val="clear" w:color="000000" w:fill="F2F2F2"/>
      <w:spacing w:after="0"/>
    </w:pPr>
    <w:rPr>
      <w:color w:val="000000"/>
    </w:rPr>
  </w:style>
  <w:style w:type="paragraph" w:customStyle="1" w:styleId="ObjectiveTableMainOutputs">
    <w:name w:val="Objective Table Main Outputs"/>
    <w:basedOn w:val="ObjectiveTableTitle"/>
    <w:uiPriority w:val="70"/>
    <w:semiHidden/>
    <w:rsid w:val="0057062A"/>
    <w:pPr>
      <w:shd w:val="clear" w:color="auto" w:fill="18A453"/>
      <w:spacing w:after="0"/>
    </w:pPr>
  </w:style>
  <w:style w:type="paragraph" w:customStyle="1" w:styleId="ObjectiveTableObjectiveTitle">
    <w:name w:val="Objective Table Objective Title"/>
    <w:basedOn w:val="ObjectiveTableTitle"/>
    <w:uiPriority w:val="70"/>
    <w:semiHidden/>
    <w:rsid w:val="0057062A"/>
  </w:style>
  <w:style w:type="paragraph" w:customStyle="1" w:styleId="ObjectiveTableSpecificObjectiveTitle">
    <w:name w:val="Objective Table Specific Objective Title"/>
    <w:basedOn w:val="ObjectiveTableSubtitle"/>
    <w:uiPriority w:val="70"/>
    <w:semiHidden/>
    <w:rsid w:val="0057062A"/>
    <w:pPr>
      <w:tabs>
        <w:tab w:val="left" w:pos="2494"/>
      </w:tabs>
    </w:pPr>
  </w:style>
  <w:style w:type="paragraph" w:customStyle="1" w:styleId="ObjectiveTableSubtitle">
    <w:name w:val="Objective Table Subtitle"/>
    <w:basedOn w:val="ObjectiveTableTitle"/>
    <w:uiPriority w:val="70"/>
    <w:semiHidden/>
    <w:rsid w:val="0057062A"/>
    <w:pPr>
      <w:spacing w:after="0"/>
    </w:pPr>
    <w:rPr>
      <w:i/>
    </w:rPr>
  </w:style>
  <w:style w:type="paragraph" w:customStyle="1" w:styleId="ObjectiveTableTargetTitle">
    <w:name w:val="Objective Table Target Title"/>
    <w:basedOn w:val="ObjectiveTableTitle"/>
    <w:uiPriority w:val="70"/>
    <w:semiHidden/>
    <w:rsid w:val="0057062A"/>
    <w:pPr>
      <w:shd w:val="clear" w:color="auto" w:fill="14A6E1"/>
      <w:spacing w:after="0"/>
    </w:pPr>
  </w:style>
  <w:style w:type="paragraph" w:customStyle="1" w:styleId="ObjectiveTableTitle">
    <w:name w:val="Objective Table Title"/>
    <w:basedOn w:val="Normal"/>
    <w:uiPriority w:val="70"/>
    <w:semiHidden/>
    <w:rsid w:val="0057062A"/>
    <w:pPr>
      <w:keepNext/>
      <w:keepLines/>
      <w:pBdr>
        <w:top w:val="single" w:sz="4" w:space="1" w:color="8C8C8C"/>
        <w:left w:val="single" w:sz="4" w:space="4" w:color="8C8C8C"/>
        <w:bottom w:val="single" w:sz="4" w:space="1" w:color="8C8C8C"/>
        <w:right w:val="single" w:sz="4" w:space="4" w:color="8C8C8C"/>
      </w:pBdr>
      <w:shd w:val="clear" w:color="auto" w:fill="7A6DB2"/>
      <w:spacing w:line="264" w:lineRule="auto"/>
      <w:ind w:left="119" w:right="119"/>
    </w:pPr>
    <w:rPr>
      <w:rFonts w:eastAsia="Times New Roman" w:cs="Times New Roman"/>
      <w:b/>
      <w:color w:val="FFFFFF"/>
      <w:kern w:val="0"/>
      <w:szCs w:val="20"/>
      <w:lang w:val="en-GB" w:eastAsia="en-GB"/>
      <w14:ligatures w14:val="none"/>
    </w:rPr>
  </w:style>
  <w:style w:type="paragraph" w:customStyle="1" w:styleId="PublicationAuthorServices">
    <w:name w:val="Publication Author Services"/>
    <w:uiPriority w:val="82"/>
    <w:semiHidden/>
    <w:unhideWhenUsed/>
    <w:qFormat/>
    <w:rsid w:val="0057062A"/>
    <w:pPr>
      <w:spacing w:before="1680" w:after="720" w:line="264" w:lineRule="auto"/>
      <w:ind w:left="3827"/>
    </w:pPr>
    <w:rPr>
      <w:rFonts w:ascii="EC Square Sans Pro" w:eastAsia="Times New Roman" w:hAnsi="EC Square Sans Pro" w:cs="Times New Roman"/>
      <w:color w:val="F5693D"/>
      <w:kern w:val="0"/>
      <w:sz w:val="32"/>
      <w:szCs w:val="32"/>
      <w:lang w:val="en-GB" w:eastAsia="en-GB"/>
      <w14:ligatures w14:val="none"/>
    </w:rPr>
  </w:style>
  <w:style w:type="paragraph" w:customStyle="1" w:styleId="PublicationDate">
    <w:name w:val="Publication Date"/>
    <w:uiPriority w:val="83"/>
    <w:semiHidden/>
    <w:unhideWhenUsed/>
    <w:qFormat/>
    <w:rsid w:val="0057062A"/>
    <w:pPr>
      <w:spacing w:after="240" w:line="264" w:lineRule="auto"/>
      <w:ind w:left="3827"/>
    </w:pPr>
    <w:rPr>
      <w:rFonts w:ascii="EC Square Sans Pro" w:eastAsia="Times New Roman" w:hAnsi="EC Square Sans Pro" w:cs="Times New Roman"/>
      <w:caps/>
      <w:color w:val="215E94"/>
      <w:kern w:val="0"/>
      <w:sz w:val="32"/>
      <w:szCs w:val="32"/>
      <w:lang w:val="en-GB" w:eastAsia="en-GB"/>
      <w14:ligatures w14:val="none"/>
    </w:rPr>
  </w:style>
  <w:style w:type="paragraph" w:customStyle="1" w:styleId="PublicationSubtitle">
    <w:name w:val="Publication Subtitle"/>
    <w:uiPriority w:val="81"/>
    <w:semiHidden/>
    <w:unhideWhenUsed/>
    <w:qFormat/>
    <w:rsid w:val="0057062A"/>
    <w:pPr>
      <w:spacing w:before="480" w:after="0" w:line="264" w:lineRule="auto"/>
      <w:ind w:left="3827"/>
    </w:pPr>
    <w:rPr>
      <w:rFonts w:ascii="Calibri Light" w:eastAsia="Times New Roman" w:hAnsi="Calibri Light" w:cs="Times New Roman"/>
      <w:color w:val="F5693D"/>
      <w:kern w:val="0"/>
      <w:sz w:val="44"/>
      <w:szCs w:val="44"/>
      <w:lang w:val="en-GB" w:eastAsia="en-GB"/>
      <w14:ligatures w14:val="none"/>
    </w:rPr>
  </w:style>
  <w:style w:type="paragraph" w:customStyle="1" w:styleId="PublicationTitle">
    <w:name w:val="Publication Title"/>
    <w:link w:val="PublicationTitleChar"/>
    <w:uiPriority w:val="80"/>
    <w:unhideWhenUsed/>
    <w:qFormat/>
    <w:rsid w:val="0057062A"/>
    <w:pPr>
      <w:spacing w:before="3360" w:after="240" w:line="264" w:lineRule="auto"/>
      <w:ind w:left="3828" w:right="1"/>
    </w:pPr>
    <w:rPr>
      <w:rFonts w:ascii="Calibri Light" w:eastAsia="Times New Roman" w:hAnsi="Calibri Light" w:cs="Times New Roman"/>
      <w:bCs/>
      <w:color w:val="215E94"/>
      <w:kern w:val="0"/>
      <w:sz w:val="72"/>
      <w:szCs w:val="72"/>
      <w:lang w:val="en-GB" w:eastAsia="en-GB"/>
      <w14:ligatures w14:val="none"/>
    </w:rPr>
  </w:style>
  <w:style w:type="paragraph" w:customStyle="1" w:styleId="References1">
    <w:name w:val="References 1"/>
    <w:basedOn w:val="Heading1"/>
    <w:next w:val="Normal"/>
    <w:uiPriority w:val="40"/>
    <w:semiHidden/>
    <w:qFormat/>
    <w:rsid w:val="0057062A"/>
    <w:pPr>
      <w:keepLines/>
      <w:numPr>
        <w:numId w:val="0"/>
      </w:numPr>
      <w:tabs>
        <w:tab w:val="num" w:pos="643"/>
      </w:tabs>
      <w:spacing w:before="240" w:after="0" w:line="259" w:lineRule="auto"/>
      <w:jc w:val="left"/>
    </w:pPr>
    <w:rPr>
      <w:rFonts w:ascii="Calibri Light" w:hAnsi="Calibri Light"/>
      <w:b w:val="0"/>
      <w:bCs w:val="0"/>
      <w:smallCaps w:val="0"/>
      <w:color w:val="564A8C"/>
      <w:kern w:val="0"/>
      <w:sz w:val="32"/>
      <w:szCs w:val="32"/>
      <w:lang w:val="en-IE"/>
      <w14:ligatures w14:val="none"/>
    </w:rPr>
  </w:style>
  <w:style w:type="paragraph" w:customStyle="1" w:styleId="References2">
    <w:name w:val="References 2"/>
    <w:basedOn w:val="Heading2"/>
    <w:next w:val="Normal"/>
    <w:uiPriority w:val="40"/>
    <w:semiHidden/>
    <w:qFormat/>
    <w:rsid w:val="0057062A"/>
    <w:pPr>
      <w:keepLines/>
      <w:numPr>
        <w:ilvl w:val="0"/>
        <w:numId w:val="0"/>
      </w:numPr>
      <w:spacing w:before="40" w:after="0" w:line="259" w:lineRule="auto"/>
      <w:jc w:val="left"/>
    </w:pPr>
    <w:rPr>
      <w:rFonts w:ascii="Calibri Light" w:hAnsi="Calibri Light"/>
      <w:b w:val="0"/>
      <w:bCs w:val="0"/>
      <w:color w:val="564A8C"/>
      <w:kern w:val="0"/>
      <w:sz w:val="26"/>
      <w:lang w:val="en-IE"/>
      <w14:ligatures w14:val="none"/>
    </w:rPr>
  </w:style>
  <w:style w:type="paragraph" w:customStyle="1" w:styleId="TableAlternative">
    <w:name w:val="Table Alternative"/>
    <w:basedOn w:val="ImageAlternative"/>
    <w:next w:val="TableNote"/>
    <w:semiHidden/>
    <w:rsid w:val="0057062A"/>
  </w:style>
  <w:style w:type="paragraph" w:customStyle="1" w:styleId="TableBody">
    <w:name w:val="Table Body"/>
    <w:next w:val="TableNote"/>
    <w:uiPriority w:val="6"/>
    <w:semiHidden/>
    <w:rsid w:val="0057062A"/>
    <w:pPr>
      <w:keepNext/>
      <w:spacing w:before="240" w:after="40" w:line="240" w:lineRule="auto"/>
    </w:pPr>
    <w:rPr>
      <w:rFonts w:ascii="EC Square Sans Pro" w:eastAsia="Times New Roman" w:hAnsi="EC Square Sans Pro" w:cs="Times New Roman"/>
      <w:kern w:val="0"/>
      <w:sz w:val="20"/>
      <w:szCs w:val="20"/>
      <w:lang w:val="en-GB" w:eastAsia="en-GB"/>
      <w14:ligatures w14:val="none"/>
    </w:rPr>
  </w:style>
  <w:style w:type="paragraph" w:customStyle="1" w:styleId="TableNote">
    <w:name w:val="Table Note"/>
    <w:basedOn w:val="ImageCaption"/>
    <w:next w:val="TableSource"/>
    <w:uiPriority w:val="6"/>
    <w:unhideWhenUsed/>
    <w:rsid w:val="0057062A"/>
    <w:pPr>
      <w:spacing w:before="40"/>
      <w:ind w:left="357" w:hanging="357"/>
    </w:pPr>
    <w:rPr>
      <w:rFonts w:ascii="EC Square Sans Pro" w:hAnsi="EC Square Sans Pro"/>
    </w:rPr>
  </w:style>
  <w:style w:type="paragraph" w:customStyle="1" w:styleId="TableSource">
    <w:name w:val="Table Source"/>
    <w:basedOn w:val="ImageSource"/>
    <w:next w:val="Normal"/>
    <w:uiPriority w:val="6"/>
    <w:unhideWhenUsed/>
    <w:rsid w:val="0057062A"/>
    <w:pPr>
      <w:keepNext w:val="0"/>
      <w:spacing w:before="80" w:after="80"/>
    </w:pPr>
    <w:rPr>
      <w:color w:val="000000"/>
    </w:rPr>
  </w:style>
  <w:style w:type="paragraph" w:customStyle="1" w:styleId="TableSubtitle">
    <w:name w:val="Table Subtitle"/>
    <w:basedOn w:val="ImageSubtitle"/>
    <w:next w:val="TableBody"/>
    <w:uiPriority w:val="6"/>
    <w:unhideWhenUsed/>
    <w:rsid w:val="0057062A"/>
    <w:pPr>
      <w:keepLines/>
      <w:spacing w:line="264" w:lineRule="auto"/>
    </w:pPr>
  </w:style>
  <w:style w:type="paragraph" w:customStyle="1" w:styleId="TitlePageAuthorServices">
    <w:name w:val="Title Page Author Services"/>
    <w:uiPriority w:val="86"/>
    <w:unhideWhenUsed/>
    <w:qFormat/>
    <w:rsid w:val="0057062A"/>
    <w:pPr>
      <w:spacing w:before="240" w:after="240" w:line="264" w:lineRule="auto"/>
      <w:ind w:left="850"/>
      <w:contextualSpacing/>
    </w:pPr>
    <w:rPr>
      <w:rFonts w:ascii="EC Square Sans Pro Medium" w:eastAsia="Times New Roman" w:hAnsi="EC Square Sans Pro Medium" w:cs="Times New Roman"/>
      <w:color w:val="215E94"/>
      <w:kern w:val="0"/>
      <w:sz w:val="36"/>
      <w:szCs w:val="20"/>
      <w:lang w:val="en-GB" w:eastAsia="en-GB"/>
      <w14:ligatures w14:val="none"/>
    </w:rPr>
  </w:style>
  <w:style w:type="paragraph" w:customStyle="1" w:styleId="TitlePageDate">
    <w:name w:val="Title Page Date"/>
    <w:uiPriority w:val="87"/>
    <w:semiHidden/>
    <w:unhideWhenUsed/>
    <w:qFormat/>
    <w:rsid w:val="0057062A"/>
    <w:pPr>
      <w:keepNext/>
      <w:keepLines/>
      <w:spacing w:before="240" w:after="240" w:line="264" w:lineRule="auto"/>
      <w:ind w:left="850" w:right="850"/>
      <w:contextualSpacing/>
      <w:jc w:val="right"/>
    </w:pPr>
    <w:rPr>
      <w:rFonts w:ascii="EC Square Sans Pro Medium" w:eastAsia="Times New Roman" w:hAnsi="EC Square Sans Pro Medium" w:cs="Times New Roman"/>
      <w:color w:val="F5693D"/>
      <w:kern w:val="0"/>
      <w:sz w:val="40"/>
      <w:szCs w:val="20"/>
      <w:lang w:val="en-GB" w:eastAsia="en-GB"/>
      <w14:ligatures w14:val="none"/>
    </w:rPr>
  </w:style>
  <w:style w:type="paragraph" w:customStyle="1" w:styleId="TitlePageEditorSeat">
    <w:name w:val="Title Page Editor Seat"/>
    <w:uiPriority w:val="88"/>
    <w:unhideWhenUsed/>
    <w:rsid w:val="0057062A"/>
    <w:pPr>
      <w:keepNext/>
      <w:keepLines/>
      <w:spacing w:before="240" w:after="240" w:line="264" w:lineRule="auto"/>
      <w:ind w:right="850"/>
      <w:contextualSpacing/>
      <w:jc w:val="right"/>
    </w:pPr>
    <w:rPr>
      <w:rFonts w:eastAsia="Times New Roman" w:cs="Times New Roman"/>
      <w:kern w:val="0"/>
      <w:sz w:val="32"/>
      <w:szCs w:val="20"/>
      <w:lang w:val="en-GB" w:eastAsia="en-GB"/>
      <w14:ligatures w14:val="none"/>
    </w:rPr>
  </w:style>
  <w:style w:type="paragraph" w:customStyle="1" w:styleId="TitlePageSubtitle">
    <w:name w:val="Title Page Subtitle"/>
    <w:uiPriority w:val="85"/>
    <w:semiHidden/>
    <w:unhideWhenUsed/>
    <w:qFormat/>
    <w:rsid w:val="0057062A"/>
    <w:pPr>
      <w:spacing w:before="600" w:after="600" w:line="264" w:lineRule="auto"/>
      <w:ind w:left="850" w:right="850"/>
      <w:contextualSpacing/>
      <w:jc w:val="right"/>
    </w:pPr>
    <w:rPr>
      <w:rFonts w:ascii="EC Square Sans Pro Medium" w:eastAsia="Times New Roman" w:hAnsi="EC Square Sans Pro Medium" w:cs="Times New Roman"/>
      <w:color w:val="215E94"/>
      <w:kern w:val="0"/>
      <w:sz w:val="48"/>
      <w:szCs w:val="20"/>
      <w:lang w:val="en-GB" w:eastAsia="en-GB"/>
      <w14:ligatures w14:val="none"/>
    </w:rPr>
  </w:style>
  <w:style w:type="paragraph" w:customStyle="1" w:styleId="TitlePageTitle">
    <w:name w:val="Title Page Title"/>
    <w:uiPriority w:val="84"/>
    <w:semiHidden/>
    <w:unhideWhenUsed/>
    <w:qFormat/>
    <w:rsid w:val="0057062A"/>
    <w:pPr>
      <w:spacing w:before="2600" w:after="360" w:line="264" w:lineRule="auto"/>
      <w:ind w:left="850" w:right="850"/>
      <w:contextualSpacing/>
      <w:jc w:val="right"/>
    </w:pPr>
    <w:rPr>
      <w:rFonts w:ascii="EC Square Sans Pro Medium" w:eastAsia="Times New Roman" w:hAnsi="EC Square Sans Pro Medium" w:cs="Times New Roman"/>
      <w:color w:val="215E94"/>
      <w:kern w:val="0"/>
      <w:sz w:val="64"/>
      <w:szCs w:val="20"/>
      <w:lang w:val="en-GB" w:eastAsia="en-GB"/>
      <w14:ligatures w14:val="none"/>
    </w:rPr>
  </w:style>
  <w:style w:type="paragraph" w:styleId="Date">
    <w:name w:val="Date"/>
    <w:next w:val="Normal"/>
    <w:link w:val="DateChar"/>
    <w:uiPriority w:val="19"/>
    <w:semiHidden/>
    <w:rsid w:val="0057062A"/>
    <w:pPr>
      <w:spacing w:before="240" w:after="0" w:line="264" w:lineRule="auto"/>
      <w:ind w:left="5669"/>
    </w:pPr>
    <w:rPr>
      <w:rFonts w:ascii="EC Square Sans Pro" w:eastAsia="Times New Roman" w:hAnsi="EC Square Sans Pro" w:cs="Times New Roman"/>
      <w:kern w:val="0"/>
      <w:sz w:val="20"/>
      <w:szCs w:val="20"/>
      <w:lang w:val="en-GB" w:eastAsia="en-GB"/>
      <w14:ligatures w14:val="none"/>
    </w:rPr>
  </w:style>
  <w:style w:type="character" w:customStyle="1" w:styleId="DateChar">
    <w:name w:val="Date Char"/>
    <w:basedOn w:val="DefaultParagraphFont"/>
    <w:link w:val="Date"/>
    <w:uiPriority w:val="19"/>
    <w:semiHidden/>
    <w:rsid w:val="0057062A"/>
    <w:rPr>
      <w:rFonts w:ascii="EC Square Sans Pro" w:eastAsia="Times New Roman" w:hAnsi="EC Square Sans Pro" w:cs="Times New Roman"/>
      <w:kern w:val="0"/>
      <w:sz w:val="20"/>
      <w:szCs w:val="20"/>
      <w:lang w:val="en-GB" w:eastAsia="en-GB"/>
      <w14:ligatures w14:val="none"/>
    </w:rPr>
  </w:style>
  <w:style w:type="paragraph" w:customStyle="1" w:styleId="EndnoteText1">
    <w:name w:val="Endnote Text1"/>
    <w:basedOn w:val="Normal"/>
    <w:next w:val="EndnoteText"/>
    <w:link w:val="EndnoteTextChar"/>
    <w:uiPriority w:val="8"/>
    <w:unhideWhenUsed/>
    <w:rsid w:val="0057062A"/>
    <w:pPr>
      <w:spacing w:after="0" w:line="240" w:lineRule="auto"/>
      <w:ind w:left="357" w:hanging="357"/>
    </w:pPr>
    <w:rPr>
      <w:rFonts w:eastAsia="Times New Roman" w:cs="Times New Roman"/>
      <w:color w:val="000000"/>
      <w:sz w:val="18"/>
      <w:szCs w:val="20"/>
      <w:lang w:val="en-GB" w:eastAsia="en-GB"/>
    </w:rPr>
  </w:style>
  <w:style w:type="character" w:customStyle="1" w:styleId="EndnoteTextChar">
    <w:name w:val="Endnote Text Char"/>
    <w:basedOn w:val="DefaultParagraphFont"/>
    <w:link w:val="EndnoteText1"/>
    <w:uiPriority w:val="8"/>
    <w:rsid w:val="0057062A"/>
    <w:rPr>
      <w:rFonts w:ascii="EC Square Sans Pro" w:eastAsia="Times New Roman" w:hAnsi="EC Square Sans Pro" w:cs="Times New Roman"/>
      <w:color w:val="000000"/>
      <w:sz w:val="18"/>
      <w:szCs w:val="20"/>
      <w:lang w:val="en-GB" w:eastAsia="en-GB"/>
    </w:rPr>
  </w:style>
  <w:style w:type="paragraph" w:customStyle="1" w:styleId="Heading1NoBreakBefore">
    <w:name w:val="Heading 1 No Break Before"/>
    <w:basedOn w:val="Heading1"/>
    <w:next w:val="Normal"/>
    <w:link w:val="Heading1NoBreakBeforeChar"/>
    <w:uiPriority w:val="9"/>
    <w:rsid w:val="0057062A"/>
    <w:pPr>
      <w:keepLines/>
      <w:numPr>
        <w:numId w:val="0"/>
      </w:numPr>
      <w:spacing w:before="240" w:after="0" w:line="259" w:lineRule="auto"/>
      <w:jc w:val="left"/>
    </w:pPr>
    <w:rPr>
      <w:rFonts w:ascii="Calibri Light" w:hAnsi="Calibri Light"/>
      <w:b w:val="0"/>
      <w:bCs w:val="0"/>
      <w:smallCaps w:val="0"/>
      <w:color w:val="564A8C"/>
      <w:kern w:val="0"/>
      <w:sz w:val="32"/>
      <w:szCs w:val="32"/>
      <w:lang w:val="en-IE"/>
      <w14:ligatures w14:val="none"/>
    </w:rPr>
  </w:style>
  <w:style w:type="character" w:customStyle="1" w:styleId="Heading1NoBreakBeforeChar">
    <w:name w:val="Heading 1 No Break Before Char"/>
    <w:link w:val="Heading1NoBreakBefore"/>
    <w:uiPriority w:val="9"/>
    <w:qFormat/>
    <w:rsid w:val="0057062A"/>
    <w:rPr>
      <w:rFonts w:ascii="Calibri Light" w:eastAsiaTheme="majorEastAsia" w:hAnsi="Calibri Light" w:cs="Times New Roman"/>
      <w:color w:val="564A8C"/>
      <w:kern w:val="0"/>
      <w:sz w:val="32"/>
      <w:szCs w:val="32"/>
      <w:lang w:val="en-IE"/>
      <w14:ligatures w14:val="none"/>
    </w:rPr>
  </w:style>
  <w:style w:type="paragraph" w:customStyle="1" w:styleId="Heading2LabelledLetter">
    <w:name w:val="Heading 2 Labelled Letter"/>
    <w:basedOn w:val="Heading2"/>
    <w:next w:val="Normal"/>
    <w:link w:val="Heading2LabelledLetterChar"/>
    <w:uiPriority w:val="9"/>
    <w:rsid w:val="0057062A"/>
    <w:pPr>
      <w:keepLines/>
      <w:numPr>
        <w:ilvl w:val="0"/>
        <w:numId w:val="29"/>
      </w:numPr>
      <w:spacing w:before="40" w:after="0" w:line="259" w:lineRule="auto"/>
      <w:ind w:left="0" w:firstLine="0"/>
      <w:jc w:val="left"/>
    </w:pPr>
    <w:rPr>
      <w:rFonts w:ascii="Calibri Light" w:hAnsi="Calibri Light"/>
      <w:b w:val="0"/>
      <w:bCs w:val="0"/>
      <w:color w:val="564A8C"/>
      <w:kern w:val="0"/>
      <w:sz w:val="26"/>
      <w:lang w:val="en-IE"/>
      <w14:ligatures w14:val="none"/>
    </w:rPr>
  </w:style>
  <w:style w:type="character" w:customStyle="1" w:styleId="Heading2LabelledLetterChar">
    <w:name w:val="Heading 2 Labelled Letter Char"/>
    <w:link w:val="Heading2LabelledLetter"/>
    <w:uiPriority w:val="9"/>
    <w:qFormat/>
    <w:rsid w:val="0057062A"/>
    <w:rPr>
      <w:rFonts w:ascii="Calibri Light" w:eastAsiaTheme="majorEastAsia" w:hAnsi="Calibri Light" w:cs="Times New Roman"/>
      <w:color w:val="564A8C"/>
      <w:kern w:val="0"/>
      <w:sz w:val="26"/>
      <w:szCs w:val="26"/>
      <w:lang w:val="en-IE"/>
      <w14:ligatures w14:val="none"/>
    </w:rPr>
  </w:style>
  <w:style w:type="paragraph" w:customStyle="1" w:styleId="Heading2LabelledNumber">
    <w:name w:val="Heading 2 Labelled Number"/>
    <w:basedOn w:val="Heading2"/>
    <w:next w:val="Normal"/>
    <w:link w:val="Heading2LabelledNumberChar"/>
    <w:uiPriority w:val="9"/>
    <w:rsid w:val="0057062A"/>
    <w:pPr>
      <w:keepLines/>
      <w:numPr>
        <w:ilvl w:val="0"/>
        <w:numId w:val="30"/>
      </w:numPr>
      <w:spacing w:before="40" w:after="0" w:line="259" w:lineRule="auto"/>
      <w:ind w:left="0" w:firstLine="0"/>
      <w:jc w:val="left"/>
    </w:pPr>
    <w:rPr>
      <w:rFonts w:ascii="Calibri Light" w:hAnsi="Calibri Light"/>
      <w:b w:val="0"/>
      <w:bCs w:val="0"/>
      <w:color w:val="564A8C"/>
      <w:kern w:val="0"/>
      <w:sz w:val="26"/>
      <w:lang w:val="en-IE"/>
      <w14:ligatures w14:val="none"/>
    </w:rPr>
  </w:style>
  <w:style w:type="character" w:customStyle="1" w:styleId="Heading2LabelledNumberChar">
    <w:name w:val="Heading 2 Labelled Number Char"/>
    <w:link w:val="Heading2LabelledNumber"/>
    <w:uiPriority w:val="9"/>
    <w:qFormat/>
    <w:rsid w:val="0057062A"/>
    <w:rPr>
      <w:rFonts w:ascii="Calibri Light" w:eastAsiaTheme="majorEastAsia" w:hAnsi="Calibri Light" w:cs="Times New Roman"/>
      <w:color w:val="564A8C"/>
      <w:kern w:val="0"/>
      <w:sz w:val="26"/>
      <w:szCs w:val="26"/>
      <w:lang w:val="en-IE"/>
      <w14:ligatures w14:val="none"/>
    </w:rPr>
  </w:style>
  <w:style w:type="paragraph" w:customStyle="1" w:styleId="HeadingNoTOC1">
    <w:name w:val="Heading NoTOC 1"/>
    <w:basedOn w:val="Heading1"/>
    <w:next w:val="Normal"/>
    <w:link w:val="HeadingNoTOC1Char"/>
    <w:uiPriority w:val="9"/>
    <w:rsid w:val="0057062A"/>
    <w:pPr>
      <w:keepLines/>
      <w:numPr>
        <w:numId w:val="0"/>
      </w:numPr>
      <w:spacing w:before="240" w:after="0" w:line="259" w:lineRule="auto"/>
      <w:jc w:val="left"/>
    </w:pPr>
    <w:rPr>
      <w:rFonts w:ascii="Calibri Light" w:hAnsi="Calibri Light"/>
      <w:b w:val="0"/>
      <w:bCs w:val="0"/>
      <w:smallCaps w:val="0"/>
      <w:color w:val="564A8C"/>
      <w:kern w:val="0"/>
      <w:sz w:val="32"/>
      <w:szCs w:val="32"/>
      <w:lang w:val="en-IE"/>
      <w14:ligatures w14:val="none"/>
    </w:rPr>
  </w:style>
  <w:style w:type="character" w:customStyle="1" w:styleId="HeadingNoTOC1Char">
    <w:name w:val="Heading NoTOC 1 Char"/>
    <w:link w:val="HeadingNoTOC1"/>
    <w:uiPriority w:val="9"/>
    <w:rsid w:val="0057062A"/>
    <w:rPr>
      <w:rFonts w:ascii="Calibri Light" w:eastAsiaTheme="majorEastAsia" w:hAnsi="Calibri Light" w:cs="Times New Roman"/>
      <w:color w:val="564A8C"/>
      <w:kern w:val="0"/>
      <w:sz w:val="32"/>
      <w:szCs w:val="32"/>
      <w:lang w:val="en-IE"/>
      <w14:ligatures w14:val="none"/>
    </w:rPr>
  </w:style>
  <w:style w:type="paragraph" w:customStyle="1" w:styleId="HeadingNoTOC1NoBreakBefore">
    <w:name w:val="Heading NoTOC 1 No Break Before"/>
    <w:basedOn w:val="amprH1Sectiontitle"/>
    <w:next w:val="Normal"/>
    <w:link w:val="HeadingNoTOC1NoBreakBeforeChar"/>
    <w:uiPriority w:val="9"/>
    <w:rsid w:val="0057062A"/>
  </w:style>
  <w:style w:type="character" w:customStyle="1" w:styleId="HeadingNoTOC1NoBreakBeforeChar">
    <w:name w:val="Heading NoTOC 1 No Break Before Char"/>
    <w:link w:val="HeadingNoTOC1NoBreakBefore"/>
    <w:uiPriority w:val="9"/>
    <w:qFormat/>
    <w:rsid w:val="0057062A"/>
    <w:rPr>
      <w:rFonts w:ascii="EC Square Sans Pro" w:eastAsia="Times New Roman" w:hAnsi="EC Square Sans Pro" w:cs="Times New Roman"/>
      <w:noProof/>
      <w:color w:val="245F95"/>
      <w:kern w:val="0"/>
      <w:sz w:val="56"/>
      <w:szCs w:val="20"/>
      <w:lang w:val="en-GB" w:eastAsia="zh-CN"/>
      <w14:ligatures w14:val="none"/>
    </w:rPr>
  </w:style>
  <w:style w:type="paragraph" w:customStyle="1" w:styleId="HeadingNoTOC2">
    <w:name w:val="Heading NoTOC 2"/>
    <w:basedOn w:val="Heading2"/>
    <w:next w:val="Normal"/>
    <w:link w:val="HeadingNoTOC2Char"/>
    <w:uiPriority w:val="9"/>
    <w:rsid w:val="0057062A"/>
    <w:pPr>
      <w:keepLines/>
      <w:numPr>
        <w:ilvl w:val="0"/>
        <w:numId w:val="0"/>
      </w:numPr>
      <w:spacing w:before="40" w:after="0" w:line="259" w:lineRule="auto"/>
      <w:jc w:val="left"/>
    </w:pPr>
    <w:rPr>
      <w:rFonts w:ascii="Calibri Light" w:hAnsi="Calibri Light"/>
      <w:b w:val="0"/>
      <w:bCs w:val="0"/>
      <w:color w:val="564A8C"/>
      <w:kern w:val="0"/>
      <w:sz w:val="26"/>
      <w:lang w:val="en-IE"/>
      <w14:ligatures w14:val="none"/>
    </w:rPr>
  </w:style>
  <w:style w:type="character" w:customStyle="1" w:styleId="HeadingNoTOC2Char">
    <w:name w:val="Heading NoTOC 2 Char"/>
    <w:link w:val="HeadingNoTOC2"/>
    <w:uiPriority w:val="9"/>
    <w:rsid w:val="0057062A"/>
    <w:rPr>
      <w:rFonts w:ascii="Calibri Light" w:eastAsiaTheme="majorEastAsia" w:hAnsi="Calibri Light" w:cs="Times New Roman"/>
      <w:color w:val="564A8C"/>
      <w:kern w:val="0"/>
      <w:sz w:val="26"/>
      <w:szCs w:val="26"/>
      <w:lang w:val="en-IE"/>
      <w14:ligatures w14:val="none"/>
    </w:rPr>
  </w:style>
  <w:style w:type="paragraph" w:customStyle="1" w:styleId="HeadingNoTOC3">
    <w:name w:val="Heading NoTOC 3"/>
    <w:basedOn w:val="Heading3"/>
    <w:next w:val="Normal"/>
    <w:link w:val="HeadingNoTOC3Char"/>
    <w:uiPriority w:val="9"/>
    <w:rsid w:val="0057062A"/>
    <w:pPr>
      <w:keepLines/>
      <w:numPr>
        <w:ilvl w:val="0"/>
        <w:numId w:val="0"/>
      </w:numPr>
      <w:spacing w:before="40" w:after="0" w:line="259" w:lineRule="auto"/>
      <w:ind w:left="720" w:hanging="432"/>
      <w:jc w:val="left"/>
    </w:pPr>
    <w:rPr>
      <w:rFonts w:ascii="Calibri Light" w:hAnsi="Calibri Light"/>
      <w:bCs w:val="0"/>
      <w:i w:val="0"/>
      <w:color w:val="39315D"/>
      <w:kern w:val="0"/>
      <w:szCs w:val="24"/>
      <w:lang w:val="en-IE"/>
      <w14:ligatures w14:val="none"/>
    </w:rPr>
  </w:style>
  <w:style w:type="character" w:customStyle="1" w:styleId="HeadingNoTOC3Char">
    <w:name w:val="Heading NoTOC 3 Char"/>
    <w:link w:val="HeadingNoTOC3"/>
    <w:uiPriority w:val="9"/>
    <w:rsid w:val="0057062A"/>
    <w:rPr>
      <w:rFonts w:ascii="Calibri Light" w:eastAsiaTheme="majorEastAsia" w:hAnsi="Calibri Light" w:cs="Times New Roman"/>
      <w:color w:val="39315D"/>
      <w:kern w:val="0"/>
      <w:sz w:val="24"/>
      <w:szCs w:val="24"/>
      <w:lang w:val="en-IE"/>
      <w14:ligatures w14:val="none"/>
    </w:rPr>
  </w:style>
  <w:style w:type="paragraph" w:customStyle="1" w:styleId="HeadingNoTOC4">
    <w:name w:val="Heading NoTOC 4"/>
    <w:basedOn w:val="Heading4"/>
    <w:next w:val="Normal"/>
    <w:link w:val="HeadingNoTOC4Char"/>
    <w:uiPriority w:val="9"/>
    <w:rsid w:val="0057062A"/>
    <w:pPr>
      <w:keepLines/>
      <w:numPr>
        <w:ilvl w:val="0"/>
        <w:numId w:val="0"/>
      </w:numPr>
      <w:spacing w:before="40" w:after="0" w:line="259" w:lineRule="auto"/>
      <w:ind w:left="864" w:hanging="144"/>
      <w:jc w:val="left"/>
    </w:pPr>
    <w:rPr>
      <w:rFonts w:ascii="Calibri Light" w:hAnsi="Calibri Light"/>
      <w:bCs w:val="0"/>
      <w:i/>
      <w:color w:val="564A8C"/>
      <w:kern w:val="0"/>
      <w:sz w:val="22"/>
      <w:lang w:val="en-IE"/>
      <w14:ligatures w14:val="none"/>
    </w:rPr>
  </w:style>
  <w:style w:type="character" w:customStyle="1" w:styleId="HeadingNoTOC4Char">
    <w:name w:val="Heading NoTOC 4 Char"/>
    <w:link w:val="HeadingNoTOC4"/>
    <w:uiPriority w:val="9"/>
    <w:rsid w:val="0057062A"/>
    <w:rPr>
      <w:rFonts w:ascii="Calibri Light" w:eastAsiaTheme="majorEastAsia" w:hAnsi="Calibri Light" w:cs="Times New Roman"/>
      <w:i/>
      <w:iCs/>
      <w:color w:val="564A8C"/>
      <w:kern w:val="0"/>
      <w:lang w:val="en-IE"/>
      <w14:ligatures w14:val="none"/>
    </w:rPr>
  </w:style>
  <w:style w:type="paragraph" w:customStyle="1" w:styleId="HeadingNoTOC5">
    <w:name w:val="Heading NoTOC 5"/>
    <w:basedOn w:val="Heading5"/>
    <w:next w:val="Normal"/>
    <w:link w:val="HeadingNoTOC5Char"/>
    <w:uiPriority w:val="9"/>
    <w:unhideWhenUsed/>
    <w:rsid w:val="0057062A"/>
    <w:pPr>
      <w:numPr>
        <w:ilvl w:val="4"/>
        <w:numId w:val="7"/>
      </w:numPr>
      <w:ind w:left="1008" w:hanging="432"/>
    </w:pPr>
    <w:rPr>
      <w:kern w:val="0"/>
      <w:lang w:val="en-IE"/>
      <w14:ligatures w14:val="none"/>
    </w:rPr>
  </w:style>
  <w:style w:type="character" w:customStyle="1" w:styleId="HeadingNoTOC5Char">
    <w:name w:val="Heading NoTOC 5 Char"/>
    <w:link w:val="HeadingNoTOC5"/>
    <w:uiPriority w:val="9"/>
    <w:unhideWhenUsed/>
    <w:rsid w:val="0057062A"/>
    <w:rPr>
      <w:rFonts w:asciiTheme="majorHAnsi" w:eastAsiaTheme="majorEastAsia" w:hAnsiTheme="majorHAnsi" w:cstheme="majorBidi"/>
      <w:color w:val="00602A" w:themeColor="accent1" w:themeShade="BF"/>
      <w:kern w:val="0"/>
      <w:sz w:val="20"/>
      <w:lang w:val="en-IE"/>
      <w14:ligatures w14:val="none"/>
    </w:rPr>
  </w:style>
  <w:style w:type="paragraph" w:customStyle="1" w:styleId="HeadingNoTOC6">
    <w:name w:val="Heading NoTOC 6"/>
    <w:basedOn w:val="Heading6"/>
    <w:next w:val="Normal"/>
    <w:link w:val="HeadingNoTOC6Char"/>
    <w:uiPriority w:val="9"/>
    <w:unhideWhenUsed/>
    <w:rsid w:val="0057062A"/>
    <w:pPr>
      <w:numPr>
        <w:ilvl w:val="5"/>
        <w:numId w:val="7"/>
      </w:numPr>
      <w:ind w:left="1152" w:hanging="432"/>
    </w:pPr>
    <w:rPr>
      <w:kern w:val="0"/>
      <w:lang w:val="en-IE"/>
      <w14:ligatures w14:val="none"/>
    </w:rPr>
  </w:style>
  <w:style w:type="character" w:customStyle="1" w:styleId="HeadingNoTOC6Char">
    <w:name w:val="Heading NoTOC 6 Char"/>
    <w:link w:val="HeadingNoTOC6"/>
    <w:uiPriority w:val="9"/>
    <w:unhideWhenUsed/>
    <w:rsid w:val="0057062A"/>
    <w:rPr>
      <w:rFonts w:asciiTheme="majorHAnsi" w:eastAsiaTheme="majorEastAsia" w:hAnsiTheme="majorHAnsi" w:cstheme="majorBidi"/>
      <w:color w:val="00401C" w:themeColor="accent1" w:themeShade="7F"/>
      <w:kern w:val="0"/>
      <w:sz w:val="20"/>
      <w:lang w:val="en-IE"/>
      <w14:ligatures w14:val="none"/>
    </w:rPr>
  </w:style>
  <w:style w:type="paragraph" w:customStyle="1" w:styleId="HeadingNoTOC7">
    <w:name w:val="Heading NoTOC 7"/>
    <w:basedOn w:val="Heading7"/>
    <w:next w:val="Normal"/>
    <w:link w:val="HeadingNoTOC7Char"/>
    <w:uiPriority w:val="9"/>
    <w:unhideWhenUsed/>
    <w:rsid w:val="0057062A"/>
    <w:pPr>
      <w:numPr>
        <w:ilvl w:val="6"/>
        <w:numId w:val="7"/>
      </w:numPr>
      <w:ind w:left="1296" w:hanging="288"/>
    </w:pPr>
    <w:rPr>
      <w:kern w:val="0"/>
      <w:lang w:val="en-IE"/>
      <w14:ligatures w14:val="none"/>
    </w:rPr>
  </w:style>
  <w:style w:type="character" w:customStyle="1" w:styleId="HeadingNoTOC7Char">
    <w:name w:val="Heading NoTOC 7 Char"/>
    <w:link w:val="HeadingNoTOC7"/>
    <w:uiPriority w:val="9"/>
    <w:unhideWhenUsed/>
    <w:rsid w:val="0057062A"/>
    <w:rPr>
      <w:rFonts w:asciiTheme="majorHAnsi" w:eastAsiaTheme="majorEastAsia" w:hAnsiTheme="majorHAnsi" w:cstheme="majorBidi"/>
      <w:i/>
      <w:iCs/>
      <w:color w:val="00401C" w:themeColor="accent1" w:themeShade="7F"/>
      <w:kern w:val="0"/>
      <w:sz w:val="20"/>
      <w:lang w:val="en-IE"/>
      <w14:ligatures w14:val="none"/>
    </w:rPr>
  </w:style>
  <w:style w:type="paragraph" w:customStyle="1" w:styleId="HeadingNoTOC8">
    <w:name w:val="Heading NoTOC 8"/>
    <w:basedOn w:val="Heading8"/>
    <w:next w:val="Normal"/>
    <w:link w:val="HeadingNoTOC8Char"/>
    <w:uiPriority w:val="9"/>
    <w:unhideWhenUsed/>
    <w:rsid w:val="0057062A"/>
    <w:pPr>
      <w:numPr>
        <w:ilvl w:val="7"/>
        <w:numId w:val="7"/>
      </w:numPr>
      <w:ind w:left="1440" w:hanging="432"/>
    </w:pPr>
    <w:rPr>
      <w:kern w:val="0"/>
      <w:lang w:val="en-IE"/>
      <w14:ligatures w14:val="none"/>
    </w:rPr>
  </w:style>
  <w:style w:type="character" w:customStyle="1" w:styleId="HeadingNoTOC8Char">
    <w:name w:val="Heading NoTOC 8 Char"/>
    <w:link w:val="HeadingNoTOC8"/>
    <w:uiPriority w:val="9"/>
    <w:unhideWhenUsed/>
    <w:rsid w:val="0057062A"/>
    <w:rPr>
      <w:rFonts w:asciiTheme="majorHAnsi" w:eastAsiaTheme="majorEastAsia" w:hAnsiTheme="majorHAnsi" w:cstheme="majorBidi"/>
      <w:color w:val="272727" w:themeColor="text1" w:themeTint="D8"/>
      <w:kern w:val="0"/>
      <w:sz w:val="21"/>
      <w:szCs w:val="21"/>
      <w:lang w:val="en-IE"/>
      <w14:ligatures w14:val="none"/>
    </w:rPr>
  </w:style>
  <w:style w:type="paragraph" w:customStyle="1" w:styleId="HeadingNoTOC9">
    <w:name w:val="Heading NoTOC 9"/>
    <w:basedOn w:val="Heading9"/>
    <w:next w:val="Normal"/>
    <w:link w:val="HeadingNoTOC9Char"/>
    <w:uiPriority w:val="9"/>
    <w:unhideWhenUsed/>
    <w:rsid w:val="0057062A"/>
    <w:pPr>
      <w:tabs>
        <w:tab w:val="num" w:pos="643"/>
      </w:tabs>
      <w:ind w:left="1584" w:hanging="144"/>
    </w:pPr>
    <w:rPr>
      <w:kern w:val="0"/>
      <w:lang w:val="en-IE"/>
      <w14:ligatures w14:val="none"/>
    </w:rPr>
  </w:style>
  <w:style w:type="character" w:customStyle="1" w:styleId="HeadingNoTOC9Char">
    <w:name w:val="Heading NoTOC 9 Char"/>
    <w:link w:val="HeadingNoTOC9"/>
    <w:uiPriority w:val="9"/>
    <w:unhideWhenUsed/>
    <w:rsid w:val="0057062A"/>
    <w:rPr>
      <w:rFonts w:asciiTheme="majorHAnsi" w:eastAsiaTheme="majorEastAsia" w:hAnsiTheme="majorHAnsi" w:cstheme="majorBidi"/>
      <w:i/>
      <w:iCs/>
      <w:color w:val="272727" w:themeColor="text1" w:themeTint="D8"/>
      <w:kern w:val="0"/>
      <w:sz w:val="21"/>
      <w:szCs w:val="21"/>
      <w:lang w:val="en-IE"/>
      <w14:ligatures w14:val="none"/>
    </w:rPr>
  </w:style>
  <w:style w:type="paragraph" w:customStyle="1" w:styleId="HeadingNumbered1">
    <w:name w:val="Heading Numbered 1"/>
    <w:basedOn w:val="Heading1"/>
    <w:next w:val="Normal"/>
    <w:link w:val="HeadingNumbered1Char"/>
    <w:uiPriority w:val="9"/>
    <w:rsid w:val="0057062A"/>
    <w:pPr>
      <w:keepLines/>
      <w:numPr>
        <w:numId w:val="31"/>
      </w:numPr>
      <w:spacing w:before="240" w:after="0" w:line="259" w:lineRule="auto"/>
      <w:ind w:left="0" w:firstLine="0"/>
      <w:jc w:val="left"/>
    </w:pPr>
    <w:rPr>
      <w:rFonts w:ascii="Calibri Light" w:hAnsi="Calibri Light"/>
      <w:b w:val="0"/>
      <w:bCs w:val="0"/>
      <w:smallCaps w:val="0"/>
      <w:color w:val="564A8C"/>
      <w:kern w:val="0"/>
      <w:sz w:val="32"/>
      <w:szCs w:val="32"/>
      <w:lang w:val="en-IE"/>
      <w14:ligatures w14:val="none"/>
    </w:rPr>
  </w:style>
  <w:style w:type="character" w:customStyle="1" w:styleId="HeadingNumbered1Char">
    <w:name w:val="Heading Numbered 1 Char"/>
    <w:link w:val="HeadingNumbered1"/>
    <w:uiPriority w:val="9"/>
    <w:rsid w:val="0057062A"/>
    <w:rPr>
      <w:rFonts w:ascii="Calibri Light" w:eastAsiaTheme="majorEastAsia" w:hAnsi="Calibri Light" w:cs="Times New Roman"/>
      <w:color w:val="564A8C"/>
      <w:kern w:val="0"/>
      <w:sz w:val="32"/>
      <w:szCs w:val="32"/>
      <w:lang w:val="en-IE"/>
      <w14:ligatures w14:val="none"/>
    </w:rPr>
  </w:style>
  <w:style w:type="paragraph" w:customStyle="1" w:styleId="HeadingNumbered1NoBreakBefore">
    <w:name w:val="Heading Numbered 1 No Break Before"/>
    <w:basedOn w:val="HeadingNumbered1"/>
    <w:next w:val="Normal"/>
    <w:link w:val="HeadingNumbered1NoBreakBeforeChar"/>
    <w:uiPriority w:val="9"/>
    <w:rsid w:val="0057062A"/>
    <w:pPr>
      <w:pageBreakBefore/>
      <w:suppressAutoHyphens/>
      <w:spacing w:before="0" w:after="720" w:line="264" w:lineRule="auto"/>
      <w:ind w:left="851" w:hanging="851"/>
    </w:pPr>
    <w:rPr>
      <w:rFonts w:eastAsia="Times New Roman"/>
      <w:color w:val="FBC2B1"/>
      <w:sz w:val="48"/>
      <w:szCs w:val="20"/>
      <w:lang w:val="en-GB" w:eastAsia="en-GB"/>
    </w:rPr>
  </w:style>
  <w:style w:type="character" w:customStyle="1" w:styleId="HeadingNumbered1NoBreakBeforeChar">
    <w:name w:val="Heading Numbered 1 No Break Before Char"/>
    <w:link w:val="HeadingNumbered1NoBreakBefore"/>
    <w:uiPriority w:val="9"/>
    <w:qFormat/>
    <w:rsid w:val="0057062A"/>
    <w:rPr>
      <w:rFonts w:ascii="Calibri Light" w:eastAsia="Times New Roman" w:hAnsi="Calibri Light" w:cs="Times New Roman"/>
      <w:color w:val="FBC2B1"/>
      <w:kern w:val="0"/>
      <w:sz w:val="48"/>
      <w:szCs w:val="20"/>
      <w:lang w:val="en-GB" w:eastAsia="en-GB"/>
      <w14:ligatures w14:val="none"/>
    </w:rPr>
  </w:style>
  <w:style w:type="paragraph" w:customStyle="1" w:styleId="HeadingNumbered2">
    <w:name w:val="Heading Numbered 2"/>
    <w:basedOn w:val="Heading2"/>
    <w:next w:val="Normal"/>
    <w:link w:val="HeadingNumbered2Char"/>
    <w:uiPriority w:val="9"/>
    <w:rsid w:val="0057062A"/>
    <w:pPr>
      <w:keepLines/>
      <w:numPr>
        <w:ilvl w:val="0"/>
        <w:numId w:val="0"/>
      </w:numPr>
      <w:spacing w:before="40" w:after="0" w:line="259" w:lineRule="auto"/>
      <w:jc w:val="left"/>
    </w:pPr>
    <w:rPr>
      <w:rFonts w:ascii="Calibri Light" w:hAnsi="Calibri Light"/>
      <w:b w:val="0"/>
      <w:bCs w:val="0"/>
      <w:color w:val="564A8C"/>
      <w:kern w:val="0"/>
      <w:sz w:val="26"/>
      <w:lang w:val="en-IE"/>
      <w14:ligatures w14:val="none"/>
    </w:rPr>
  </w:style>
  <w:style w:type="character" w:customStyle="1" w:styleId="HeadingNumbered2Char">
    <w:name w:val="Heading Numbered 2 Char"/>
    <w:link w:val="HeadingNumbered2"/>
    <w:uiPriority w:val="9"/>
    <w:rsid w:val="0057062A"/>
    <w:rPr>
      <w:rFonts w:ascii="Calibri Light" w:eastAsiaTheme="majorEastAsia" w:hAnsi="Calibri Light" w:cs="Times New Roman"/>
      <w:color w:val="564A8C"/>
      <w:kern w:val="0"/>
      <w:sz w:val="26"/>
      <w:szCs w:val="26"/>
      <w:lang w:val="en-IE"/>
      <w14:ligatures w14:val="none"/>
    </w:rPr>
  </w:style>
  <w:style w:type="paragraph" w:customStyle="1" w:styleId="HeadingNumbered3">
    <w:name w:val="Heading Numbered 3"/>
    <w:basedOn w:val="Heading3"/>
    <w:next w:val="Normal"/>
    <w:link w:val="HeadingNumbered3Char"/>
    <w:uiPriority w:val="9"/>
    <w:rsid w:val="0057062A"/>
    <w:pPr>
      <w:keepLines/>
      <w:numPr>
        <w:ilvl w:val="0"/>
        <w:numId w:val="0"/>
      </w:numPr>
      <w:spacing w:before="40" w:after="0" w:line="259" w:lineRule="auto"/>
      <w:ind w:left="720" w:hanging="432"/>
      <w:jc w:val="left"/>
    </w:pPr>
    <w:rPr>
      <w:rFonts w:ascii="Calibri Light" w:hAnsi="Calibri Light"/>
      <w:bCs w:val="0"/>
      <w:i w:val="0"/>
      <w:color w:val="39315D"/>
      <w:kern w:val="0"/>
      <w:szCs w:val="24"/>
      <w:lang w:val="en-IE"/>
      <w14:ligatures w14:val="none"/>
    </w:rPr>
  </w:style>
  <w:style w:type="character" w:customStyle="1" w:styleId="HeadingNumbered3Char">
    <w:name w:val="Heading Numbered 3 Char"/>
    <w:link w:val="HeadingNumbered3"/>
    <w:uiPriority w:val="9"/>
    <w:rsid w:val="0057062A"/>
    <w:rPr>
      <w:rFonts w:ascii="Calibri Light" w:eastAsiaTheme="majorEastAsia" w:hAnsi="Calibri Light" w:cs="Times New Roman"/>
      <w:color w:val="39315D"/>
      <w:kern w:val="0"/>
      <w:sz w:val="24"/>
      <w:szCs w:val="24"/>
      <w:lang w:val="en-IE"/>
      <w14:ligatures w14:val="none"/>
    </w:rPr>
  </w:style>
  <w:style w:type="paragraph" w:customStyle="1" w:styleId="HeadingNumbered4">
    <w:name w:val="Heading Numbered 4"/>
    <w:basedOn w:val="Heading4"/>
    <w:next w:val="Normal"/>
    <w:link w:val="HeadingNumbered4Char"/>
    <w:uiPriority w:val="9"/>
    <w:rsid w:val="0057062A"/>
    <w:pPr>
      <w:keepLines/>
      <w:numPr>
        <w:ilvl w:val="0"/>
        <w:numId w:val="0"/>
      </w:numPr>
      <w:spacing w:before="40" w:after="0" w:line="259" w:lineRule="auto"/>
      <w:ind w:left="864" w:hanging="144"/>
      <w:jc w:val="left"/>
    </w:pPr>
    <w:rPr>
      <w:rFonts w:ascii="Calibri Light" w:hAnsi="Calibri Light"/>
      <w:bCs w:val="0"/>
      <w:i/>
      <w:color w:val="564A8C"/>
      <w:kern w:val="0"/>
      <w:sz w:val="22"/>
      <w:lang w:val="en-IE"/>
      <w14:ligatures w14:val="none"/>
    </w:rPr>
  </w:style>
  <w:style w:type="character" w:customStyle="1" w:styleId="HeadingNumbered4Char">
    <w:name w:val="Heading Numbered 4 Char"/>
    <w:link w:val="HeadingNumbered4"/>
    <w:uiPriority w:val="9"/>
    <w:rsid w:val="0057062A"/>
    <w:rPr>
      <w:rFonts w:ascii="Calibri Light" w:eastAsiaTheme="majorEastAsia" w:hAnsi="Calibri Light" w:cs="Times New Roman"/>
      <w:i/>
      <w:iCs/>
      <w:color w:val="564A8C"/>
      <w:kern w:val="0"/>
      <w:lang w:val="en-IE"/>
      <w14:ligatures w14:val="none"/>
    </w:rPr>
  </w:style>
  <w:style w:type="paragraph" w:customStyle="1" w:styleId="HeadingNumbered5">
    <w:name w:val="Heading Numbered 5"/>
    <w:basedOn w:val="Heading5"/>
    <w:next w:val="Normal"/>
    <w:link w:val="HeadingNumbered5Char"/>
    <w:uiPriority w:val="9"/>
    <w:unhideWhenUsed/>
    <w:rsid w:val="0057062A"/>
    <w:pPr>
      <w:numPr>
        <w:ilvl w:val="4"/>
        <w:numId w:val="31"/>
      </w:numPr>
      <w:ind w:left="1008" w:hanging="432"/>
    </w:pPr>
    <w:rPr>
      <w:kern w:val="0"/>
      <w:lang w:val="en-IE"/>
      <w14:ligatures w14:val="none"/>
    </w:rPr>
  </w:style>
  <w:style w:type="character" w:customStyle="1" w:styleId="HeadingNumbered5Char">
    <w:name w:val="Heading Numbered 5 Char"/>
    <w:link w:val="HeadingNumbered5"/>
    <w:uiPriority w:val="9"/>
    <w:unhideWhenUsed/>
    <w:rsid w:val="0057062A"/>
    <w:rPr>
      <w:rFonts w:asciiTheme="majorHAnsi" w:eastAsiaTheme="majorEastAsia" w:hAnsiTheme="majorHAnsi" w:cstheme="majorBidi"/>
      <w:color w:val="00602A" w:themeColor="accent1" w:themeShade="BF"/>
      <w:kern w:val="0"/>
      <w:sz w:val="20"/>
      <w:lang w:val="en-IE"/>
      <w14:ligatures w14:val="none"/>
    </w:rPr>
  </w:style>
  <w:style w:type="paragraph" w:customStyle="1" w:styleId="HeadingNumbered6">
    <w:name w:val="Heading Numbered 6"/>
    <w:basedOn w:val="Heading6"/>
    <w:next w:val="Normal"/>
    <w:link w:val="HeadingNumbered6Char"/>
    <w:uiPriority w:val="9"/>
    <w:unhideWhenUsed/>
    <w:rsid w:val="0057062A"/>
    <w:pPr>
      <w:numPr>
        <w:ilvl w:val="5"/>
        <w:numId w:val="31"/>
      </w:numPr>
      <w:ind w:left="1152" w:hanging="432"/>
    </w:pPr>
    <w:rPr>
      <w:kern w:val="0"/>
      <w:lang w:val="en-IE"/>
      <w14:ligatures w14:val="none"/>
    </w:rPr>
  </w:style>
  <w:style w:type="character" w:customStyle="1" w:styleId="HeadingNumbered6Char">
    <w:name w:val="Heading Numbered 6 Char"/>
    <w:link w:val="HeadingNumbered6"/>
    <w:uiPriority w:val="9"/>
    <w:unhideWhenUsed/>
    <w:rsid w:val="0057062A"/>
    <w:rPr>
      <w:rFonts w:asciiTheme="majorHAnsi" w:eastAsiaTheme="majorEastAsia" w:hAnsiTheme="majorHAnsi" w:cstheme="majorBidi"/>
      <w:color w:val="00401C" w:themeColor="accent1" w:themeShade="7F"/>
      <w:kern w:val="0"/>
      <w:sz w:val="20"/>
      <w:lang w:val="en-IE"/>
      <w14:ligatures w14:val="none"/>
    </w:rPr>
  </w:style>
  <w:style w:type="paragraph" w:customStyle="1" w:styleId="HeadingNumbered7">
    <w:name w:val="Heading Numbered 7"/>
    <w:basedOn w:val="Heading7"/>
    <w:next w:val="Normal"/>
    <w:link w:val="HeadingNumbered7Char"/>
    <w:uiPriority w:val="9"/>
    <w:unhideWhenUsed/>
    <w:rsid w:val="0057062A"/>
    <w:pPr>
      <w:numPr>
        <w:ilvl w:val="6"/>
        <w:numId w:val="31"/>
      </w:numPr>
      <w:ind w:left="1296" w:hanging="288"/>
    </w:pPr>
    <w:rPr>
      <w:kern w:val="0"/>
      <w:lang w:val="en-IE"/>
      <w14:ligatures w14:val="none"/>
    </w:rPr>
  </w:style>
  <w:style w:type="character" w:customStyle="1" w:styleId="HeadingNumbered7Char">
    <w:name w:val="Heading Numbered 7 Char"/>
    <w:link w:val="HeadingNumbered7"/>
    <w:uiPriority w:val="9"/>
    <w:unhideWhenUsed/>
    <w:rsid w:val="0057062A"/>
    <w:rPr>
      <w:rFonts w:asciiTheme="majorHAnsi" w:eastAsiaTheme="majorEastAsia" w:hAnsiTheme="majorHAnsi" w:cstheme="majorBidi"/>
      <w:i/>
      <w:iCs/>
      <w:color w:val="00401C" w:themeColor="accent1" w:themeShade="7F"/>
      <w:kern w:val="0"/>
      <w:sz w:val="20"/>
      <w:lang w:val="en-IE"/>
      <w14:ligatures w14:val="none"/>
    </w:rPr>
  </w:style>
  <w:style w:type="paragraph" w:customStyle="1" w:styleId="HeadingNumbered8">
    <w:name w:val="Heading Numbered 8"/>
    <w:basedOn w:val="Heading8"/>
    <w:next w:val="Normal"/>
    <w:link w:val="HeadingNumbered8Char"/>
    <w:uiPriority w:val="9"/>
    <w:unhideWhenUsed/>
    <w:rsid w:val="0057062A"/>
    <w:pPr>
      <w:numPr>
        <w:ilvl w:val="7"/>
        <w:numId w:val="31"/>
      </w:numPr>
      <w:ind w:left="1440" w:hanging="432"/>
    </w:pPr>
    <w:rPr>
      <w:kern w:val="0"/>
      <w:lang w:val="en-IE"/>
      <w14:ligatures w14:val="none"/>
    </w:rPr>
  </w:style>
  <w:style w:type="character" w:customStyle="1" w:styleId="HeadingNumbered8Char">
    <w:name w:val="Heading Numbered 8 Char"/>
    <w:link w:val="HeadingNumbered8"/>
    <w:uiPriority w:val="9"/>
    <w:unhideWhenUsed/>
    <w:rsid w:val="0057062A"/>
    <w:rPr>
      <w:rFonts w:asciiTheme="majorHAnsi" w:eastAsiaTheme="majorEastAsia" w:hAnsiTheme="majorHAnsi" w:cstheme="majorBidi"/>
      <w:color w:val="272727" w:themeColor="text1" w:themeTint="D8"/>
      <w:kern w:val="0"/>
      <w:sz w:val="21"/>
      <w:szCs w:val="21"/>
      <w:lang w:val="en-IE"/>
      <w14:ligatures w14:val="none"/>
    </w:rPr>
  </w:style>
  <w:style w:type="paragraph" w:customStyle="1" w:styleId="HeadingNumbered9">
    <w:name w:val="Heading Numbered 9"/>
    <w:basedOn w:val="Heading9"/>
    <w:next w:val="Normal"/>
    <w:link w:val="HeadingNumbered9Char"/>
    <w:uiPriority w:val="9"/>
    <w:unhideWhenUsed/>
    <w:rsid w:val="0057062A"/>
    <w:pPr>
      <w:numPr>
        <w:ilvl w:val="8"/>
        <w:numId w:val="31"/>
      </w:numPr>
      <w:ind w:left="1584" w:hanging="144"/>
    </w:pPr>
    <w:rPr>
      <w:kern w:val="0"/>
      <w:lang w:val="en-IE"/>
      <w14:ligatures w14:val="none"/>
    </w:rPr>
  </w:style>
  <w:style w:type="character" w:customStyle="1" w:styleId="HeadingNumbered9Char">
    <w:name w:val="Heading Numbered 9 Char"/>
    <w:link w:val="HeadingNumbered9"/>
    <w:uiPriority w:val="9"/>
    <w:unhideWhenUsed/>
    <w:rsid w:val="0057062A"/>
    <w:rPr>
      <w:rFonts w:asciiTheme="majorHAnsi" w:eastAsiaTheme="majorEastAsia" w:hAnsiTheme="majorHAnsi" w:cstheme="majorBidi"/>
      <w:i/>
      <w:iCs/>
      <w:color w:val="272727" w:themeColor="text1" w:themeTint="D8"/>
      <w:kern w:val="0"/>
      <w:sz w:val="21"/>
      <w:szCs w:val="21"/>
      <w:lang w:val="en-IE"/>
      <w14:ligatures w14:val="none"/>
    </w:rPr>
  </w:style>
  <w:style w:type="paragraph" w:customStyle="1" w:styleId="Subtitle1">
    <w:name w:val="Subtitle1"/>
    <w:next w:val="Normal"/>
    <w:uiPriority w:val="15"/>
    <w:rsid w:val="0057062A"/>
    <w:pPr>
      <w:spacing w:before="2760" w:after="240" w:line="264" w:lineRule="auto"/>
      <w:jc w:val="center"/>
    </w:pPr>
    <w:rPr>
      <w:rFonts w:ascii="EC Square Sans Pro" w:eastAsia="Times New Roman" w:hAnsi="EC Square Sans Pro" w:cs="Times New Roman"/>
      <w:b/>
      <w:color w:val="215E94"/>
      <w:kern w:val="0"/>
      <w:sz w:val="52"/>
      <w:szCs w:val="20"/>
      <w:lang w:val="en-GB" w:eastAsia="en-GB"/>
      <w14:ligatures w14:val="none"/>
    </w:rPr>
  </w:style>
  <w:style w:type="character" w:customStyle="1" w:styleId="SubtitleChar">
    <w:name w:val="Subtitle Char"/>
    <w:basedOn w:val="DefaultParagraphFont"/>
    <w:link w:val="Subtitle"/>
    <w:uiPriority w:val="15"/>
    <w:qFormat/>
    <w:rsid w:val="0057062A"/>
    <w:rPr>
      <w:rFonts w:ascii="EC Square Sans Pro" w:eastAsia="Times New Roman" w:hAnsi="EC Square Sans Pro" w:cs="Times New Roman"/>
      <w:b/>
      <w:color w:val="215E94"/>
      <w:sz w:val="52"/>
      <w:szCs w:val="20"/>
      <w:lang w:val="en-GB" w:eastAsia="en-GB"/>
    </w:rPr>
  </w:style>
  <w:style w:type="paragraph" w:styleId="Title">
    <w:name w:val="Title"/>
    <w:next w:val="Normal"/>
    <w:link w:val="TitleChar"/>
    <w:uiPriority w:val="14"/>
    <w:rsid w:val="0057062A"/>
    <w:pPr>
      <w:spacing w:before="240" w:beforeAutospacing="1" w:after="240" w:line="264" w:lineRule="auto"/>
      <w:jc w:val="center"/>
    </w:pPr>
    <w:rPr>
      <w:rFonts w:ascii="EC Square Sans Pro" w:eastAsia="Times New Roman" w:hAnsi="EC Square Sans Pro" w:cs="Times New Roman"/>
      <w:b/>
      <w:kern w:val="0"/>
      <w:sz w:val="40"/>
      <w:szCs w:val="20"/>
      <w:lang w:val="en-GB" w:eastAsia="en-GB"/>
      <w14:ligatures w14:val="none"/>
    </w:rPr>
  </w:style>
  <w:style w:type="character" w:customStyle="1" w:styleId="TitleChar">
    <w:name w:val="Title Char"/>
    <w:basedOn w:val="DefaultParagraphFont"/>
    <w:link w:val="Title"/>
    <w:uiPriority w:val="14"/>
    <w:qFormat/>
    <w:rsid w:val="0057062A"/>
    <w:rPr>
      <w:rFonts w:ascii="EC Square Sans Pro" w:eastAsia="Times New Roman" w:hAnsi="EC Square Sans Pro" w:cs="Times New Roman"/>
      <w:b/>
      <w:kern w:val="0"/>
      <w:sz w:val="40"/>
      <w:szCs w:val="20"/>
      <w:lang w:val="en-GB" w:eastAsia="en-GB"/>
      <w14:ligatures w14:val="none"/>
    </w:rPr>
  </w:style>
  <w:style w:type="table" w:customStyle="1" w:styleId="BodyTable2">
    <w:name w:val="Body Table 2"/>
    <w:basedOn w:val="TableNormal"/>
    <w:uiPriority w:val="10"/>
    <w:rsid w:val="0057062A"/>
    <w:pPr>
      <w:spacing w:before="100" w:after="100" w:line="264" w:lineRule="auto"/>
    </w:pPr>
    <w:rPr>
      <w:rFonts w:eastAsia="Times New Roman" w:cs="Times New Roman"/>
      <w:kern w:val="0"/>
      <w:sz w:val="20"/>
      <w:szCs w:val="20"/>
      <w:lang w:val="en-GB" w:eastAsia="en-GB"/>
      <w14:ligatures w14:val="none"/>
    </w:rPr>
    <w:tblPr>
      <w:tblStyleRowBandSize w:val="1"/>
      <w:tblStyleColBandSize w:val="1"/>
      <w:jc w:val="center"/>
      <w:tblBorders>
        <w:top w:val="single" w:sz="4" w:space="0" w:color="8C8C8C"/>
        <w:bottom w:val="single" w:sz="4" w:space="0" w:color="8C8C8C"/>
        <w:insideH w:val="single" w:sz="4" w:space="0" w:color="8C8C8C"/>
      </w:tblBorders>
    </w:tblPr>
    <w:trPr>
      <w:cantSplit/>
      <w:jc w:val="center"/>
    </w:trPr>
    <w:tcPr>
      <w:shd w:val="clear" w:color="auto" w:fill="auto"/>
    </w:tcPr>
    <w:tblStylePr w:type="firstRow">
      <w:pPr>
        <w:wordWrap/>
        <w:spacing w:beforeLines="0" w:before="100" w:beforeAutospacing="0" w:afterLines="0" w:after="100" w:afterAutospacing="0" w:line="264" w:lineRule="auto"/>
        <w:jc w:val="center"/>
      </w:pPr>
      <w:rPr>
        <w:b/>
        <w:color w:val="FFFFFF"/>
      </w:rPr>
      <w:tblPr/>
      <w:trPr>
        <w:cantSplit/>
        <w:tblHeader/>
      </w:trPr>
      <w:tcPr>
        <w:tcBorders>
          <w:top w:val="nil"/>
          <w:left w:val="nil"/>
          <w:bottom w:val="nil"/>
          <w:right w:val="nil"/>
          <w:insideH w:val="nil"/>
          <w:insideV w:val="nil"/>
          <w:tl2br w:val="nil"/>
          <w:tr2bl w:val="nil"/>
        </w:tcBorders>
        <w:shd w:val="clear" w:color="FFFFFF" w:fill="215E94"/>
        <w:vAlign w:val="top"/>
      </w:tcPr>
    </w:tblStylePr>
    <w:tblStylePr w:type="lastRow">
      <w:pPr>
        <w:jc w:val="both"/>
      </w:pPr>
      <w:rPr>
        <w:b/>
        <w:color w:val="215E94"/>
      </w:rPr>
      <w:tblPr/>
      <w:tcPr>
        <w:tcBorders>
          <w:top w:val="nil"/>
          <w:left w:val="nil"/>
          <w:bottom w:val="nil"/>
          <w:right w:val="nil"/>
          <w:insideH w:val="nil"/>
          <w:insideV w:val="nil"/>
          <w:tl2br w:val="nil"/>
          <w:tr2bl w:val="nil"/>
        </w:tcBorders>
        <w:shd w:val="clear" w:color="FFFFFF" w:fill="auto"/>
      </w:tcPr>
    </w:tblStylePr>
    <w:tblStylePr w:type="firstCol">
      <w:pPr>
        <w:jc w:val="both"/>
      </w:pPr>
      <w:rPr>
        <w:b/>
        <w:color w:val="7A6DB2"/>
      </w:rPr>
    </w:tblStylePr>
    <w:tblStylePr w:type="band2Vert">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cPr>
    </w:tblStylePr>
    <w:tblStylePr w:type="band1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auto"/>
      </w:tcPr>
    </w:tblStylePr>
    <w:tblStylePr w:type="band2Horz">
      <w:tblPr/>
      <w:tcPr>
        <w:tcBorders>
          <w:top w:val="single" w:sz="4" w:space="0" w:color="8C8C8C"/>
          <w:left w:val="nil"/>
          <w:bottom w:val="single" w:sz="4" w:space="0" w:color="8C8C8C"/>
          <w:right w:val="nil"/>
          <w:insideH w:val="single" w:sz="4" w:space="0" w:color="8C8C8C"/>
          <w:insideV w:val="nil"/>
          <w:tl2br w:val="nil"/>
          <w:tr2bl w:val="nil"/>
        </w:tcBorders>
        <w:shd w:val="clear" w:color="auto" w:fill="F2F2F2"/>
      </w:tcPr>
    </w:tblStylePr>
  </w:style>
  <w:style w:type="table" w:customStyle="1" w:styleId="TableBoxBlueBackground">
    <w:name w:val="Table Box Blue Background"/>
    <w:uiPriority w:val="99"/>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Ind w:w="0" w:type="dxa"/>
      <w:tblBorders>
        <w:top w:val="single" w:sz="4" w:space="0" w:color="0E4194"/>
        <w:left w:val="single" w:sz="4" w:space="0" w:color="0E4194"/>
        <w:bottom w:val="single" w:sz="4" w:space="0" w:color="0E4194"/>
        <w:right w:val="single" w:sz="4" w:space="0" w:color="0E4194"/>
      </w:tblBorders>
      <w:tblCellMar>
        <w:top w:w="0" w:type="dxa"/>
        <w:left w:w="108" w:type="dxa"/>
        <w:bottom w:w="0" w:type="dxa"/>
        <w:right w:w="108" w:type="dxa"/>
      </w:tblCellMar>
    </w:tblPr>
    <w:tcPr>
      <w:shd w:val="clear" w:color="000000" w:fill="F4F8FE"/>
    </w:tcPr>
  </w:style>
  <w:style w:type="table" w:customStyle="1" w:styleId="TableBoxBlueDashedBorder">
    <w:name w:val="Table Box Blue Dashed Border"/>
    <w:uiPriority w:val="99"/>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Ind w:w="0" w:type="dxa"/>
      <w:tblBorders>
        <w:top w:val="dashSmallGap" w:sz="12" w:space="0" w:color="0E4194"/>
        <w:left w:val="dashSmallGap" w:sz="12" w:space="0" w:color="0E4194"/>
        <w:bottom w:val="dashSmallGap" w:sz="12" w:space="0" w:color="0E4194"/>
        <w:right w:val="dashSmallGap" w:sz="12" w:space="0" w:color="0E4194"/>
      </w:tblBorders>
      <w:tblCellMar>
        <w:top w:w="0" w:type="dxa"/>
        <w:left w:w="108" w:type="dxa"/>
        <w:bottom w:w="0" w:type="dxa"/>
        <w:right w:w="108" w:type="dxa"/>
      </w:tblCellMar>
    </w:tblPr>
    <w:tcPr>
      <w:shd w:val="clear" w:color="000000" w:fill="auto"/>
    </w:tcPr>
  </w:style>
  <w:style w:type="table" w:customStyle="1" w:styleId="TableBoxGreyBackground">
    <w:name w:val="Table Box Grey Background"/>
    <w:uiPriority w:val="99"/>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Ind w:w="0" w:type="dxa"/>
      <w:tblBorders>
        <w:top w:val="single" w:sz="4" w:space="0" w:color="8C8C8C"/>
        <w:left w:val="single" w:sz="4" w:space="0" w:color="8C8C8C"/>
        <w:bottom w:val="single" w:sz="4" w:space="0" w:color="8C8C8C"/>
        <w:right w:val="single" w:sz="4" w:space="0" w:color="8C8C8C"/>
      </w:tblBorders>
      <w:tblCellMar>
        <w:top w:w="0" w:type="dxa"/>
        <w:left w:w="108" w:type="dxa"/>
        <w:bottom w:w="0" w:type="dxa"/>
        <w:right w:w="108" w:type="dxa"/>
      </w:tblCellMar>
    </w:tblPr>
    <w:tcPr>
      <w:shd w:val="clear" w:color="000000" w:fill="F2F2F2"/>
    </w:tcPr>
  </w:style>
  <w:style w:type="table" w:customStyle="1" w:styleId="TableBoxRedBorder">
    <w:name w:val="Table Box Red Border"/>
    <w:uiPriority w:val="99"/>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Ind w:w="0" w:type="dxa"/>
      <w:tblBorders>
        <w:top w:val="single" w:sz="4" w:space="0" w:color="D2460F"/>
        <w:left w:val="single" w:sz="4" w:space="0" w:color="D2460F"/>
        <w:bottom w:val="single" w:sz="4" w:space="0" w:color="D2460F"/>
        <w:right w:val="single" w:sz="4" w:space="0" w:color="D2460F"/>
      </w:tblBorders>
      <w:tblCellMar>
        <w:top w:w="0" w:type="dxa"/>
        <w:left w:w="108" w:type="dxa"/>
        <w:bottom w:w="0" w:type="dxa"/>
        <w:right w:w="108" w:type="dxa"/>
      </w:tblCellMar>
    </w:tblPr>
    <w:tcPr>
      <w:shd w:val="clear" w:color="000000" w:fill="F5693D"/>
    </w:tcPr>
  </w:style>
  <w:style w:type="table" w:customStyle="1" w:styleId="TableBoxYellowBackground">
    <w:name w:val="Table Box Yellow Background"/>
    <w:uiPriority w:val="99"/>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Ind w:w="0" w:type="dxa"/>
      <w:tblBorders>
        <w:top w:val="single" w:sz="4" w:space="0" w:color="F5693D"/>
        <w:left w:val="single" w:sz="4" w:space="0" w:color="F5693D"/>
        <w:bottom w:val="single" w:sz="4" w:space="0" w:color="F5693D"/>
        <w:right w:val="single" w:sz="4" w:space="0" w:color="F5693D"/>
      </w:tblBorders>
      <w:tblCellMar>
        <w:top w:w="0" w:type="dxa"/>
        <w:left w:w="108" w:type="dxa"/>
        <w:bottom w:w="0" w:type="dxa"/>
        <w:right w:w="108" w:type="dxa"/>
      </w:tblCellMar>
    </w:tblPr>
    <w:tcPr>
      <w:shd w:val="clear" w:color="000000" w:fill="F5693D"/>
    </w:tcPr>
  </w:style>
  <w:style w:type="table" w:customStyle="1" w:styleId="TableGrid1">
    <w:name w:val="Table Grid1"/>
    <w:basedOn w:val="TableNormal"/>
    <w:next w:val="TableGrid"/>
    <w:rsid w:val="0057062A"/>
    <w:pPr>
      <w:keepNext/>
      <w:spacing w:before="40" w:after="40" w:line="264" w:lineRule="auto"/>
    </w:pPr>
    <w:rPr>
      <w:rFonts w:ascii="EC Square Sans Cond Pro" w:eastAsia="Times New Roman" w:hAnsi="EC Square Sans Cond Pro" w:cs="Times New Roman"/>
      <w:kern w:val="0"/>
      <w:sz w:val="20"/>
      <w:szCs w:val="20"/>
      <w:lang w:val="en-GB" w:eastAsia="en-GB"/>
      <w14:ligatures w14:val="none"/>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2F2F2"/>
    </w:tblPr>
    <w:trPr>
      <w:cantSplit/>
      <w:jc w:val="center"/>
    </w:trPr>
    <w:tcPr>
      <w:shd w:val="clear" w:color="auto" w:fill="F2F2F2"/>
    </w:tcPr>
    <w:tblStylePr w:type="firstRow">
      <w:pPr>
        <w:spacing w:before="40" w:after="40" w:line="264" w:lineRule="auto"/>
        <w:jc w:val="both"/>
      </w:pPr>
      <w:rPr>
        <w:b/>
        <w:color w:val="FFFFFF"/>
      </w:rPr>
      <w:tblPr/>
      <w:trPr>
        <w:cantSplit/>
        <w:tblHeader/>
      </w:trPr>
      <w:tcPr>
        <w:tcBorders>
          <w:bottom w:val="single" w:sz="4" w:space="0" w:color="8C8C8C"/>
          <w:insideH w:val="single" w:sz="4" w:space="0" w:color="8C8C8C"/>
          <w:insideV w:val="single" w:sz="4" w:space="0" w:color="8C8C8C"/>
        </w:tcBorders>
        <w:shd w:val="clear" w:color="FFFFFF" w:fill="7A6DB2"/>
        <w:vAlign w:val="top"/>
      </w:tcPr>
    </w:tblStylePr>
    <w:tblStylePr w:type="lastRow">
      <w:pPr>
        <w:jc w:val="both"/>
      </w:pPr>
      <w:rPr>
        <w:b/>
        <w:color w:val="FFFFFF"/>
      </w:rPr>
      <w:tblPr/>
      <w:tcPr>
        <w:shd w:val="clear" w:color="FFFFFF" w:fill="18A453"/>
      </w:tcPr>
    </w:tblStylePr>
    <w:tblStylePr w:type="firstCol">
      <w:pPr>
        <w:jc w:val="both"/>
      </w:pPr>
      <w:rPr>
        <w:b/>
      </w:rPr>
      <w:tblPr/>
      <w:tcPr>
        <w:shd w:val="clear" w:color="000000" w:fill="F2F2F2"/>
      </w:tcPr>
    </w:tblStylePr>
  </w:style>
  <w:style w:type="table" w:customStyle="1" w:styleId="TableObjective">
    <w:name w:val="Table Objective"/>
    <w:basedOn w:val="TableNormal"/>
    <w:uiPriority w:val="10"/>
    <w:rsid w:val="0057062A"/>
    <w:pPr>
      <w:keepLines/>
      <w:spacing w:before="40" w:after="40" w:line="264" w:lineRule="auto"/>
    </w:pPr>
    <w:rPr>
      <w:rFonts w:ascii="EC Square Sans Cond Pro" w:eastAsia="Times New Roman" w:hAnsi="EC Square Sans Cond Pro" w:cs="Times New Roman"/>
      <w:kern w:val="0"/>
      <w:sz w:val="20"/>
      <w:szCs w:val="20"/>
      <w:lang w:val="en-GB" w:eastAsia="en-GB"/>
      <w14:ligatures w14:val="none"/>
    </w:rPr>
    <w:tblPr>
      <w:tblStyleRowBandSize w:val="1"/>
      <w:tblStyleColBandSize w:val="1"/>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shd w:val="clear" w:color="auto" w:fill="F2F2F2"/>
    </w:tblPr>
    <w:trPr>
      <w:cantSplit/>
      <w:jc w:val="center"/>
    </w:trPr>
    <w:tcPr>
      <w:shd w:val="clear" w:color="auto" w:fill="F2F2F2"/>
    </w:tcPr>
    <w:tblStylePr w:type="firstRow">
      <w:pPr>
        <w:spacing w:before="40" w:after="40" w:line="264" w:lineRule="auto"/>
      </w:pPr>
      <w:rPr>
        <w:b/>
        <w:color w:val="000000"/>
        <w:sz w:val="20"/>
      </w:rPr>
      <w:tblPr/>
      <w:trPr>
        <w:cantSplit/>
        <w:tblHeader/>
      </w:trPr>
      <w:tcPr>
        <w:tcBorders>
          <w:bottom w:val="single" w:sz="4" w:space="0" w:color="8C8C8C"/>
          <w:insideH w:val="single" w:sz="4" w:space="0" w:color="8C8C8C"/>
          <w:insideV w:val="single" w:sz="4" w:space="0" w:color="8C8C8C"/>
        </w:tcBorders>
        <w:shd w:val="clear" w:color="auto" w:fill="F2F2F2"/>
        <w:vAlign w:val="top"/>
      </w:tcPr>
    </w:tblStylePr>
  </w:style>
  <w:style w:type="character" w:customStyle="1" w:styleId="PublicationTitleChar">
    <w:name w:val="Publication Title Char"/>
    <w:basedOn w:val="DefaultParagraphFont"/>
    <w:link w:val="PublicationTitle"/>
    <w:uiPriority w:val="80"/>
    <w:rsid w:val="0057062A"/>
    <w:rPr>
      <w:rFonts w:ascii="Calibri Light" w:eastAsia="Times New Roman" w:hAnsi="Calibri Light" w:cs="Times New Roman"/>
      <w:bCs/>
      <w:color w:val="215E94"/>
      <w:kern w:val="0"/>
      <w:sz w:val="72"/>
      <w:szCs w:val="72"/>
      <w:lang w:val="en-GB" w:eastAsia="en-GB"/>
      <w14:ligatures w14:val="none"/>
    </w:rPr>
  </w:style>
  <w:style w:type="paragraph" w:customStyle="1" w:styleId="PublicationSubtitle2">
    <w:name w:val="Publication Subtitle 2"/>
    <w:basedOn w:val="PublicationSubtitle"/>
    <w:uiPriority w:val="1"/>
    <w:semiHidden/>
    <w:unhideWhenUsed/>
    <w:qFormat/>
    <w:rsid w:val="0057062A"/>
    <w:pPr>
      <w:spacing w:before="0"/>
    </w:pPr>
    <w:rPr>
      <w:color w:val="215E94"/>
    </w:rPr>
  </w:style>
  <w:style w:type="table" w:customStyle="1" w:styleId="amprtableboxBLUE">
    <w:name w:val="[ampr] table box BLUE"/>
    <w:basedOn w:val="TableNormal"/>
    <w:uiPriority w:val="99"/>
    <w:rsid w:val="0057062A"/>
    <w:pPr>
      <w:spacing w:before="240" w:after="240" w:line="264" w:lineRule="auto"/>
    </w:pPr>
    <w:rPr>
      <w:rFonts w:ascii="EC Square Sans Pro" w:eastAsia="Times New Roman" w:hAnsi="EC Square Sans Pro" w:cs="Times New Roman"/>
      <w:color w:val="FFFFFF"/>
      <w:kern w:val="0"/>
      <w:sz w:val="20"/>
      <w:szCs w:val="20"/>
      <w:lang w:val="en-GB" w:eastAsia="en-GB"/>
      <w14:ligatures w14:val="none"/>
    </w:rPr>
    <w:tblPr>
      <w:jc w:val="center"/>
      <w:tblCellMar>
        <w:left w:w="301" w:type="dxa"/>
        <w:right w:w="301" w:type="dxa"/>
      </w:tblCellMar>
    </w:tblPr>
    <w:trPr>
      <w:jc w:val="center"/>
    </w:trPr>
    <w:tcPr>
      <w:shd w:val="clear" w:color="auto" w:fill="215E94"/>
    </w:tcPr>
  </w:style>
  <w:style w:type="paragraph" w:customStyle="1" w:styleId="amprboxBLUEtext">
    <w:name w:val="[ampr box BLUE] text"/>
    <w:basedOn w:val="Normal"/>
    <w:uiPriority w:val="7"/>
    <w:qFormat/>
    <w:rsid w:val="0057062A"/>
    <w:pPr>
      <w:pBdr>
        <w:top w:val="single" w:sz="12" w:space="12" w:color="215E94"/>
        <w:left w:val="single" w:sz="12" w:space="12" w:color="215E94"/>
        <w:bottom w:val="single" w:sz="12" w:space="12" w:color="215E94"/>
        <w:right w:val="single" w:sz="12" w:space="12" w:color="215E94"/>
      </w:pBdr>
      <w:shd w:val="clear" w:color="auto" w:fill="215E94"/>
      <w:spacing w:line="264" w:lineRule="auto"/>
      <w:ind w:left="301" w:right="301"/>
    </w:pPr>
    <w:rPr>
      <w:rFonts w:eastAsia="EC Square Sans Pro" w:cs="Times New Roman"/>
      <w:color w:val="FFFFFF"/>
      <w:kern w:val="0"/>
      <w:szCs w:val="21"/>
      <w:lang w:val="en-GB" w:eastAsia="fr-BE"/>
      <w14:ligatures w14:val="none"/>
    </w:rPr>
  </w:style>
  <w:style w:type="character" w:customStyle="1" w:styleId="amprcharItalic">
    <w:name w:val="[ampr char] Italic"/>
    <w:rsid w:val="0057062A"/>
    <w:rPr>
      <w:i/>
      <w:noProof w:val="0"/>
      <w:lang w:val="en-GB"/>
    </w:rPr>
  </w:style>
  <w:style w:type="paragraph" w:customStyle="1" w:styleId="amprboxBLUEbulletlist">
    <w:name w:val="[ampr box BLUE] bullet list"/>
    <w:basedOn w:val="amprboxBLUEtext"/>
    <w:uiPriority w:val="7"/>
    <w:qFormat/>
    <w:rsid w:val="0057062A"/>
    <w:pPr>
      <w:numPr>
        <w:numId w:val="25"/>
      </w:numPr>
      <w:tabs>
        <w:tab w:val="num" w:pos="1417"/>
      </w:tabs>
      <w:spacing w:before="60" w:after="60"/>
      <w:ind w:left="1417" w:hanging="567"/>
    </w:pPr>
  </w:style>
  <w:style w:type="paragraph" w:customStyle="1" w:styleId="amprHeader-Right">
    <w:name w:val="[ampr] Header - Right"/>
    <w:basedOn w:val="Normal"/>
    <w:next w:val="Normal"/>
    <w:uiPriority w:val="15"/>
    <w:qFormat/>
    <w:rsid w:val="0057062A"/>
    <w:pPr>
      <w:spacing w:after="0" w:line="240" w:lineRule="auto"/>
      <w:jc w:val="right"/>
    </w:pPr>
    <w:rPr>
      <w:rFonts w:eastAsia="EC Square Sans Pro" w:cs="Times New Roman"/>
      <w:color w:val="777777"/>
      <w:kern w:val="0"/>
      <w:szCs w:val="21"/>
      <w:lang w:val="en-GB" w:eastAsia="zh-CN"/>
      <w14:ligatures w14:val="none"/>
    </w:rPr>
  </w:style>
  <w:style w:type="paragraph" w:customStyle="1" w:styleId="amprHeader-Left">
    <w:name w:val="[ampr] Header - Left"/>
    <w:basedOn w:val="Normal"/>
    <w:next w:val="Normal"/>
    <w:uiPriority w:val="15"/>
    <w:qFormat/>
    <w:rsid w:val="0057062A"/>
    <w:pPr>
      <w:spacing w:after="0" w:line="240" w:lineRule="auto"/>
    </w:pPr>
    <w:rPr>
      <w:rFonts w:eastAsia="EC Square Sans Pro" w:cs="Times New Roman"/>
      <w:color w:val="777777"/>
      <w:kern w:val="0"/>
      <w:szCs w:val="21"/>
      <w:lang w:val="en-GB" w:eastAsia="zh-CN"/>
      <w14:ligatures w14:val="none"/>
    </w:rPr>
  </w:style>
  <w:style w:type="paragraph" w:customStyle="1" w:styleId="amprFooter-Right">
    <w:name w:val="[ampr] Footer - Right"/>
    <w:basedOn w:val="Footer"/>
    <w:uiPriority w:val="15"/>
    <w:qFormat/>
    <w:rsid w:val="0057062A"/>
    <w:pPr>
      <w:tabs>
        <w:tab w:val="clear" w:pos="4535"/>
        <w:tab w:val="clear" w:pos="9071"/>
        <w:tab w:val="clear" w:pos="9921"/>
      </w:tabs>
      <w:spacing w:before="0"/>
      <w:ind w:left="0" w:right="0"/>
      <w:jc w:val="right"/>
    </w:pPr>
    <w:rPr>
      <w:rFonts w:ascii="EC Square Sans Pro" w:eastAsia="EC Square Sans Pro" w:hAnsi="EC Square Sans Pro"/>
      <w:kern w:val="0"/>
      <w:sz w:val="20"/>
      <w:szCs w:val="21"/>
      <w:lang w:eastAsia="zh-CN"/>
      <w14:ligatures w14:val="none"/>
    </w:rPr>
  </w:style>
  <w:style w:type="paragraph" w:customStyle="1" w:styleId="amprFooter-Left">
    <w:name w:val="[ampr] Footer - Left"/>
    <w:basedOn w:val="Normal"/>
    <w:next w:val="Normal"/>
    <w:uiPriority w:val="15"/>
    <w:qFormat/>
    <w:rsid w:val="0057062A"/>
    <w:pPr>
      <w:spacing w:after="0" w:line="240" w:lineRule="auto"/>
    </w:pPr>
    <w:rPr>
      <w:rFonts w:eastAsia="EC Square Sans Pro" w:cs="Times New Roman"/>
      <w:kern w:val="0"/>
      <w:szCs w:val="21"/>
      <w:lang w:val="en-GB" w:eastAsia="zh-CN"/>
      <w14:ligatures w14:val="none"/>
    </w:rPr>
  </w:style>
  <w:style w:type="table" w:customStyle="1" w:styleId="amprtableboxPURPLEdashed">
    <w:name w:val="[ampr] table box PURPLE dashed"/>
    <w:basedOn w:val="TableNormal"/>
    <w:uiPriority w:val="99"/>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jc w:val="center"/>
      <w:tblBorders>
        <w:top w:val="dashSmallGap" w:sz="12" w:space="0" w:color="7A6DB2"/>
        <w:left w:val="dashSmallGap" w:sz="12" w:space="0" w:color="7A6DB2"/>
        <w:bottom w:val="dashSmallGap" w:sz="12" w:space="0" w:color="7A6DB2"/>
        <w:right w:val="dashSmallGap" w:sz="12" w:space="0" w:color="7A6DB2"/>
      </w:tblBorders>
      <w:tblCellMar>
        <w:left w:w="301" w:type="dxa"/>
        <w:right w:w="301" w:type="dxa"/>
      </w:tblCellMar>
    </w:tblPr>
    <w:trPr>
      <w:jc w:val="center"/>
    </w:trPr>
  </w:style>
  <w:style w:type="table" w:customStyle="1" w:styleId="amprtableboxGREY">
    <w:name w:val="[ampr] table box GREY"/>
    <w:basedOn w:val="TableNormal"/>
    <w:uiPriority w:val="99"/>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jc w:val="center"/>
      <w:tblCellMar>
        <w:left w:w="301" w:type="dxa"/>
        <w:right w:w="301" w:type="dxa"/>
      </w:tblCellMar>
    </w:tblPr>
    <w:trPr>
      <w:jc w:val="center"/>
    </w:trPr>
    <w:tcPr>
      <w:shd w:val="clear" w:color="auto" w:fill="F2F2F2"/>
    </w:tcPr>
  </w:style>
  <w:style w:type="table" w:customStyle="1" w:styleId="BodyTable">
    <w:name w:val="Body Table"/>
    <w:basedOn w:val="TableNormal"/>
    <w:uiPriority w:val="99"/>
    <w:rsid w:val="0057062A"/>
    <w:pPr>
      <w:spacing w:before="60" w:after="60" w:line="240" w:lineRule="auto"/>
    </w:pPr>
    <w:rPr>
      <w:rFonts w:ascii="EC Square Sans Pro" w:eastAsia="EC Square Sans Pro" w:hAnsi="EC Square Sans Pro" w:cs="Tunga"/>
      <w:kern w:val="0"/>
      <w:sz w:val="20"/>
      <w:szCs w:val="20"/>
      <w14:ligatures w14:val="none"/>
    </w:rPr>
    <w:tblPr>
      <w:jc w:val="center"/>
      <w:tblBorders>
        <w:insideH w:val="single" w:sz="4" w:space="0" w:color="8C8C8C"/>
        <w:insideV w:val="single" w:sz="4" w:space="0" w:color="8C8C8C"/>
      </w:tblBorders>
    </w:tblPr>
    <w:trPr>
      <w:cantSplit/>
      <w:jc w:val="center"/>
    </w:trPr>
    <w:tcPr>
      <w:shd w:val="clear" w:color="auto" w:fill="F2F2F2"/>
    </w:tcPr>
    <w:tblStylePr w:type="firstRow">
      <w:pPr>
        <w:wordWrap/>
        <w:spacing w:beforeLines="0" w:before="100" w:beforeAutospacing="0" w:afterLines="0" w:after="100" w:afterAutospacing="0" w:line="240" w:lineRule="auto"/>
        <w:contextualSpacing w:val="0"/>
      </w:pPr>
      <w:rPr>
        <w:b/>
        <w:color w:val="FFFFFF"/>
      </w:rPr>
      <w:tblPr/>
      <w:tcPr>
        <w:tcBorders>
          <w:top w:val="single" w:sz="4" w:space="0" w:color="215E94"/>
          <w:left w:val="single" w:sz="4" w:space="0" w:color="215E94"/>
          <w:bottom w:val="single" w:sz="4" w:space="0" w:color="215E94"/>
          <w:right w:val="single" w:sz="4" w:space="0" w:color="215E94"/>
          <w:insideH w:val="nil"/>
          <w:insideV w:val="single" w:sz="4" w:space="0" w:color="FFFFFF"/>
          <w:tl2br w:val="nil"/>
          <w:tr2bl w:val="nil"/>
        </w:tcBorders>
        <w:shd w:val="clear" w:color="auto" w:fill="215E94"/>
      </w:tcPr>
    </w:tblStylePr>
    <w:tblStylePr w:type="firstCol">
      <w:rPr>
        <w:b/>
        <w:i w:val="0"/>
        <w:color w:val="7A6DB2"/>
      </w:rPr>
    </w:tblStylePr>
  </w:style>
  <w:style w:type="paragraph" w:styleId="Bibliography">
    <w:name w:val="Bibliography"/>
    <w:basedOn w:val="Normal"/>
    <w:next w:val="Normal"/>
    <w:semiHidden/>
    <w:rsid w:val="0057062A"/>
    <w:pPr>
      <w:spacing w:line="264" w:lineRule="auto"/>
    </w:pPr>
    <w:rPr>
      <w:rFonts w:eastAsia="Times New Roman" w:cs="Times New Roman"/>
      <w:kern w:val="0"/>
      <w:szCs w:val="20"/>
      <w:lang w:val="en-GB" w:eastAsia="en-GB"/>
      <w14:ligatures w14:val="none"/>
    </w:rPr>
  </w:style>
  <w:style w:type="paragraph" w:customStyle="1" w:styleId="BlockText1">
    <w:name w:val="Block Text1"/>
    <w:basedOn w:val="Normal"/>
    <w:next w:val="BlockText"/>
    <w:semiHidden/>
    <w:rsid w:val="0057062A"/>
    <w:pPr>
      <w:pBdr>
        <w:top w:val="single" w:sz="2" w:space="10" w:color="7A6DB2"/>
        <w:left w:val="single" w:sz="2" w:space="10" w:color="7A6DB2"/>
        <w:bottom w:val="single" w:sz="2" w:space="10" w:color="7A6DB2"/>
        <w:right w:val="single" w:sz="2" w:space="10" w:color="7A6DB2"/>
      </w:pBdr>
      <w:spacing w:line="264" w:lineRule="auto"/>
      <w:ind w:left="1152" w:right="1152"/>
    </w:pPr>
    <w:rPr>
      <w:rFonts w:eastAsia="Times New Roman"/>
      <w:i/>
      <w:iCs/>
      <w:color w:val="7A6DB2"/>
      <w:kern w:val="0"/>
      <w:szCs w:val="20"/>
      <w:lang w:val="en-GB" w:eastAsia="en-GB"/>
      <w14:ligatures w14:val="none"/>
    </w:rPr>
  </w:style>
  <w:style w:type="paragraph" w:styleId="BodyText">
    <w:name w:val="Body Text"/>
    <w:basedOn w:val="Normal"/>
    <w:link w:val="BodyTextChar"/>
    <w:semiHidden/>
    <w:rsid w:val="0057062A"/>
    <w:pPr>
      <w:spacing w:after="120" w:line="264" w:lineRule="auto"/>
    </w:pPr>
    <w:rPr>
      <w:rFonts w:eastAsia="Times New Roman" w:cs="Times New Roman"/>
      <w:kern w:val="0"/>
      <w:szCs w:val="20"/>
      <w:lang w:val="en-GB" w:eastAsia="en-GB"/>
      <w14:ligatures w14:val="none"/>
    </w:rPr>
  </w:style>
  <w:style w:type="character" w:customStyle="1" w:styleId="BodyTextChar">
    <w:name w:val="Body Text Char"/>
    <w:basedOn w:val="DefaultParagraphFont"/>
    <w:link w:val="BodyText"/>
    <w:semiHidden/>
    <w:rsid w:val="0057062A"/>
    <w:rPr>
      <w:rFonts w:ascii="EC Square Sans Pro" w:eastAsia="Times New Roman" w:hAnsi="EC Square Sans Pro" w:cs="Times New Roman"/>
      <w:kern w:val="0"/>
      <w:sz w:val="20"/>
      <w:szCs w:val="20"/>
      <w:lang w:val="en-GB" w:eastAsia="en-GB"/>
      <w14:ligatures w14:val="none"/>
    </w:rPr>
  </w:style>
  <w:style w:type="paragraph" w:styleId="BodyText2">
    <w:name w:val="Body Text 2"/>
    <w:basedOn w:val="Normal"/>
    <w:link w:val="BodyText2Char"/>
    <w:semiHidden/>
    <w:rsid w:val="0057062A"/>
    <w:pPr>
      <w:spacing w:after="120" w:line="480" w:lineRule="auto"/>
    </w:pPr>
    <w:rPr>
      <w:rFonts w:eastAsia="Times New Roman" w:cs="Times New Roman"/>
      <w:kern w:val="0"/>
      <w:szCs w:val="20"/>
      <w:lang w:val="en-GB" w:eastAsia="en-GB"/>
      <w14:ligatures w14:val="none"/>
    </w:rPr>
  </w:style>
  <w:style w:type="character" w:customStyle="1" w:styleId="BodyText2Char">
    <w:name w:val="Body Text 2 Char"/>
    <w:basedOn w:val="DefaultParagraphFont"/>
    <w:link w:val="BodyText2"/>
    <w:semiHidden/>
    <w:rsid w:val="0057062A"/>
    <w:rPr>
      <w:rFonts w:ascii="EC Square Sans Pro" w:eastAsia="Times New Roman" w:hAnsi="EC Square Sans Pro" w:cs="Times New Roman"/>
      <w:kern w:val="0"/>
      <w:sz w:val="20"/>
      <w:szCs w:val="20"/>
      <w:lang w:val="en-GB" w:eastAsia="en-GB"/>
      <w14:ligatures w14:val="none"/>
    </w:rPr>
  </w:style>
  <w:style w:type="paragraph" w:styleId="BodyText3">
    <w:name w:val="Body Text 3"/>
    <w:basedOn w:val="Normal"/>
    <w:link w:val="BodyText3Char"/>
    <w:semiHidden/>
    <w:rsid w:val="0057062A"/>
    <w:pPr>
      <w:spacing w:after="120" w:line="264" w:lineRule="auto"/>
    </w:pPr>
    <w:rPr>
      <w:rFonts w:eastAsia="Times New Roman" w:cs="Times New Roman"/>
      <w:kern w:val="0"/>
      <w:sz w:val="16"/>
      <w:szCs w:val="16"/>
      <w:lang w:val="en-GB" w:eastAsia="en-GB"/>
      <w14:ligatures w14:val="none"/>
    </w:rPr>
  </w:style>
  <w:style w:type="character" w:customStyle="1" w:styleId="BodyText3Char">
    <w:name w:val="Body Text 3 Char"/>
    <w:basedOn w:val="DefaultParagraphFont"/>
    <w:link w:val="BodyText3"/>
    <w:semiHidden/>
    <w:rsid w:val="0057062A"/>
    <w:rPr>
      <w:rFonts w:ascii="EC Square Sans Pro" w:eastAsia="Times New Roman" w:hAnsi="EC Square Sans Pro" w:cs="Times New Roman"/>
      <w:kern w:val="0"/>
      <w:sz w:val="16"/>
      <w:szCs w:val="16"/>
      <w:lang w:val="en-GB" w:eastAsia="en-GB"/>
      <w14:ligatures w14:val="none"/>
    </w:rPr>
  </w:style>
  <w:style w:type="paragraph" w:styleId="BodyTextFirstIndent">
    <w:name w:val="Body Text First Indent"/>
    <w:basedOn w:val="BodyText"/>
    <w:link w:val="BodyTextFirstIndentChar"/>
    <w:semiHidden/>
    <w:rsid w:val="0057062A"/>
    <w:pPr>
      <w:spacing w:after="240"/>
      <w:ind w:firstLine="360"/>
    </w:pPr>
  </w:style>
  <w:style w:type="character" w:customStyle="1" w:styleId="BodyTextFirstIndentChar">
    <w:name w:val="Body Text First Indent Char"/>
    <w:basedOn w:val="BodyTextChar"/>
    <w:link w:val="BodyTextFirstIndent"/>
    <w:semiHidden/>
    <w:rsid w:val="0057062A"/>
    <w:rPr>
      <w:rFonts w:ascii="EC Square Sans Pro" w:eastAsia="Times New Roman" w:hAnsi="EC Square Sans Pro" w:cs="Times New Roman"/>
      <w:kern w:val="0"/>
      <w:sz w:val="20"/>
      <w:szCs w:val="20"/>
      <w:lang w:val="en-GB" w:eastAsia="en-GB"/>
      <w14:ligatures w14:val="none"/>
    </w:rPr>
  </w:style>
  <w:style w:type="paragraph" w:styleId="BodyTextIndent">
    <w:name w:val="Body Text Indent"/>
    <w:basedOn w:val="Normal"/>
    <w:link w:val="BodyTextIndentChar"/>
    <w:semiHidden/>
    <w:rsid w:val="0057062A"/>
    <w:pPr>
      <w:spacing w:after="120" w:line="264" w:lineRule="auto"/>
      <w:ind w:left="283"/>
    </w:pPr>
    <w:rPr>
      <w:rFonts w:eastAsia="Times New Roman" w:cs="Times New Roman"/>
      <w:kern w:val="0"/>
      <w:szCs w:val="20"/>
      <w:lang w:val="en-GB" w:eastAsia="en-GB"/>
      <w14:ligatures w14:val="none"/>
    </w:rPr>
  </w:style>
  <w:style w:type="character" w:customStyle="1" w:styleId="BodyTextIndentChar">
    <w:name w:val="Body Text Indent Char"/>
    <w:basedOn w:val="DefaultParagraphFont"/>
    <w:link w:val="BodyTextIndent"/>
    <w:semiHidden/>
    <w:rsid w:val="0057062A"/>
    <w:rPr>
      <w:rFonts w:ascii="EC Square Sans Pro" w:eastAsia="Times New Roman" w:hAnsi="EC Square Sans Pro" w:cs="Times New Roman"/>
      <w:kern w:val="0"/>
      <w:sz w:val="20"/>
      <w:szCs w:val="20"/>
      <w:lang w:val="en-GB" w:eastAsia="en-GB"/>
      <w14:ligatures w14:val="none"/>
    </w:rPr>
  </w:style>
  <w:style w:type="paragraph" w:styleId="BodyTextFirstIndent2">
    <w:name w:val="Body Text First Indent 2"/>
    <w:basedOn w:val="BodyTextIndent"/>
    <w:link w:val="BodyTextFirstIndent2Char"/>
    <w:semiHidden/>
    <w:rsid w:val="0057062A"/>
    <w:pPr>
      <w:spacing w:after="240"/>
      <w:ind w:left="360" w:firstLine="360"/>
    </w:pPr>
  </w:style>
  <w:style w:type="character" w:customStyle="1" w:styleId="BodyTextFirstIndent2Char">
    <w:name w:val="Body Text First Indent 2 Char"/>
    <w:basedOn w:val="BodyTextIndentChar"/>
    <w:link w:val="BodyTextFirstIndent2"/>
    <w:semiHidden/>
    <w:rsid w:val="0057062A"/>
    <w:rPr>
      <w:rFonts w:ascii="EC Square Sans Pro" w:eastAsia="Times New Roman" w:hAnsi="EC Square Sans Pro" w:cs="Times New Roman"/>
      <w:kern w:val="0"/>
      <w:sz w:val="20"/>
      <w:szCs w:val="20"/>
      <w:lang w:val="en-GB" w:eastAsia="en-GB"/>
      <w14:ligatures w14:val="none"/>
    </w:rPr>
  </w:style>
  <w:style w:type="paragraph" w:styleId="BodyTextIndent2">
    <w:name w:val="Body Text Indent 2"/>
    <w:basedOn w:val="Normal"/>
    <w:link w:val="BodyTextIndent2Char"/>
    <w:semiHidden/>
    <w:rsid w:val="0057062A"/>
    <w:pPr>
      <w:spacing w:after="120" w:line="480" w:lineRule="auto"/>
      <w:ind w:left="283"/>
    </w:pPr>
    <w:rPr>
      <w:rFonts w:eastAsia="Times New Roman" w:cs="Times New Roman"/>
      <w:kern w:val="0"/>
      <w:szCs w:val="20"/>
      <w:lang w:val="en-GB" w:eastAsia="en-GB"/>
      <w14:ligatures w14:val="none"/>
    </w:rPr>
  </w:style>
  <w:style w:type="character" w:customStyle="1" w:styleId="BodyTextIndent2Char">
    <w:name w:val="Body Text Indent 2 Char"/>
    <w:basedOn w:val="DefaultParagraphFont"/>
    <w:link w:val="BodyTextIndent2"/>
    <w:semiHidden/>
    <w:rsid w:val="0057062A"/>
    <w:rPr>
      <w:rFonts w:ascii="EC Square Sans Pro" w:eastAsia="Times New Roman" w:hAnsi="EC Square Sans Pro" w:cs="Times New Roman"/>
      <w:kern w:val="0"/>
      <w:sz w:val="20"/>
      <w:szCs w:val="20"/>
      <w:lang w:val="en-GB" w:eastAsia="en-GB"/>
      <w14:ligatures w14:val="none"/>
    </w:rPr>
  </w:style>
  <w:style w:type="paragraph" w:styleId="BodyTextIndent3">
    <w:name w:val="Body Text Indent 3"/>
    <w:basedOn w:val="Normal"/>
    <w:link w:val="BodyTextIndent3Char"/>
    <w:semiHidden/>
    <w:rsid w:val="0057062A"/>
    <w:pPr>
      <w:spacing w:after="120" w:line="264" w:lineRule="auto"/>
      <w:ind w:left="283"/>
    </w:pPr>
    <w:rPr>
      <w:rFonts w:eastAsia="Times New Roman" w:cs="Times New Roman"/>
      <w:kern w:val="0"/>
      <w:sz w:val="16"/>
      <w:szCs w:val="16"/>
      <w:lang w:val="en-GB" w:eastAsia="en-GB"/>
      <w14:ligatures w14:val="none"/>
    </w:rPr>
  </w:style>
  <w:style w:type="character" w:customStyle="1" w:styleId="BodyTextIndent3Char">
    <w:name w:val="Body Text Indent 3 Char"/>
    <w:basedOn w:val="DefaultParagraphFont"/>
    <w:link w:val="BodyTextIndent3"/>
    <w:semiHidden/>
    <w:rsid w:val="0057062A"/>
    <w:rPr>
      <w:rFonts w:ascii="EC Square Sans Pro" w:eastAsia="Times New Roman" w:hAnsi="EC Square Sans Pro" w:cs="Times New Roman"/>
      <w:kern w:val="0"/>
      <w:sz w:val="16"/>
      <w:szCs w:val="16"/>
      <w:lang w:val="en-GB" w:eastAsia="en-GB"/>
      <w14:ligatures w14:val="none"/>
    </w:rPr>
  </w:style>
  <w:style w:type="character" w:styleId="BookTitle">
    <w:name w:val="Book Title"/>
    <w:basedOn w:val="DefaultParagraphFont"/>
    <w:rsid w:val="0057062A"/>
    <w:rPr>
      <w:b/>
      <w:bCs/>
      <w:i/>
      <w:iCs/>
      <w:noProof w:val="0"/>
      <w:spacing w:val="5"/>
      <w:lang w:val="en-GB"/>
    </w:rPr>
  </w:style>
  <w:style w:type="paragraph" w:styleId="Closing">
    <w:name w:val="Closing"/>
    <w:basedOn w:val="Normal"/>
    <w:link w:val="ClosingChar"/>
    <w:semiHidden/>
    <w:rsid w:val="0057062A"/>
    <w:pPr>
      <w:spacing w:after="0" w:line="240" w:lineRule="auto"/>
      <w:ind w:left="4252"/>
    </w:pPr>
    <w:rPr>
      <w:rFonts w:eastAsia="Times New Roman" w:cs="Times New Roman"/>
      <w:kern w:val="0"/>
      <w:szCs w:val="20"/>
      <w:lang w:val="en-GB" w:eastAsia="en-GB"/>
      <w14:ligatures w14:val="none"/>
    </w:rPr>
  </w:style>
  <w:style w:type="character" w:customStyle="1" w:styleId="ClosingChar">
    <w:name w:val="Closing Char"/>
    <w:basedOn w:val="DefaultParagraphFont"/>
    <w:link w:val="Closing"/>
    <w:semiHidden/>
    <w:rsid w:val="0057062A"/>
    <w:rPr>
      <w:rFonts w:ascii="EC Square Sans Pro" w:eastAsia="Times New Roman" w:hAnsi="EC Square Sans Pro" w:cs="Times New Roman"/>
      <w:kern w:val="0"/>
      <w:sz w:val="20"/>
      <w:szCs w:val="20"/>
      <w:lang w:val="en-GB" w:eastAsia="en-GB"/>
      <w14:ligatures w14:val="none"/>
    </w:rPr>
  </w:style>
  <w:style w:type="paragraph" w:styleId="DocumentMap">
    <w:name w:val="Document Map"/>
    <w:basedOn w:val="Normal"/>
    <w:link w:val="DocumentMapChar"/>
    <w:semiHidden/>
    <w:rsid w:val="0057062A"/>
    <w:pPr>
      <w:spacing w:after="0" w:line="240" w:lineRule="auto"/>
    </w:pPr>
    <w:rPr>
      <w:rFonts w:ascii="Segoe UI" w:eastAsia="Times New Roman" w:hAnsi="Segoe UI" w:cs="Segoe UI"/>
      <w:kern w:val="0"/>
      <w:sz w:val="16"/>
      <w:szCs w:val="16"/>
      <w:lang w:val="en-GB" w:eastAsia="en-GB"/>
      <w14:ligatures w14:val="none"/>
    </w:rPr>
  </w:style>
  <w:style w:type="character" w:customStyle="1" w:styleId="DocumentMapChar">
    <w:name w:val="Document Map Char"/>
    <w:basedOn w:val="DefaultParagraphFont"/>
    <w:link w:val="DocumentMap"/>
    <w:semiHidden/>
    <w:rsid w:val="0057062A"/>
    <w:rPr>
      <w:rFonts w:ascii="Segoe UI" w:eastAsia="Times New Roman" w:hAnsi="Segoe UI" w:cs="Segoe UI"/>
      <w:kern w:val="0"/>
      <w:sz w:val="16"/>
      <w:szCs w:val="16"/>
      <w:lang w:val="en-GB" w:eastAsia="en-GB"/>
      <w14:ligatures w14:val="none"/>
    </w:rPr>
  </w:style>
  <w:style w:type="paragraph" w:styleId="E-mailSignature">
    <w:name w:val="E-mail Signature"/>
    <w:basedOn w:val="Normal"/>
    <w:link w:val="E-mailSignatureChar"/>
    <w:semiHidden/>
    <w:rsid w:val="0057062A"/>
    <w:pPr>
      <w:spacing w:after="0" w:line="240" w:lineRule="auto"/>
    </w:pPr>
    <w:rPr>
      <w:rFonts w:eastAsia="Times New Roman" w:cs="Times New Roman"/>
      <w:kern w:val="0"/>
      <w:szCs w:val="20"/>
      <w:lang w:val="en-GB" w:eastAsia="en-GB"/>
      <w14:ligatures w14:val="none"/>
    </w:rPr>
  </w:style>
  <w:style w:type="character" w:customStyle="1" w:styleId="E-mailSignatureChar">
    <w:name w:val="E-mail Signature Char"/>
    <w:basedOn w:val="DefaultParagraphFont"/>
    <w:link w:val="E-mailSignature"/>
    <w:semiHidden/>
    <w:rsid w:val="0057062A"/>
    <w:rPr>
      <w:rFonts w:ascii="EC Square Sans Pro" w:eastAsia="Times New Roman" w:hAnsi="EC Square Sans Pro" w:cs="Times New Roman"/>
      <w:kern w:val="0"/>
      <w:sz w:val="20"/>
      <w:szCs w:val="20"/>
      <w:lang w:val="en-GB" w:eastAsia="en-GB"/>
      <w14:ligatures w14:val="none"/>
    </w:rPr>
  </w:style>
  <w:style w:type="paragraph" w:customStyle="1" w:styleId="EnvelopeAddress1">
    <w:name w:val="Envelope Address1"/>
    <w:basedOn w:val="Normal"/>
    <w:next w:val="EnvelopeAddress"/>
    <w:semiHidden/>
    <w:rsid w:val="0057062A"/>
    <w:pPr>
      <w:framePr w:w="7920" w:h="1980" w:hRule="exact" w:hSpace="180" w:wrap="auto" w:hAnchor="page" w:xAlign="center" w:yAlign="bottom"/>
      <w:spacing w:after="0" w:line="240" w:lineRule="auto"/>
      <w:ind w:left="2880"/>
    </w:pPr>
    <w:rPr>
      <w:rFonts w:ascii="Calibri Light" w:eastAsia="Times New Roman" w:hAnsi="Calibri Light" w:cs="Times New Roman"/>
      <w:kern w:val="0"/>
      <w:sz w:val="24"/>
      <w:szCs w:val="24"/>
      <w:lang w:val="en-GB" w:eastAsia="en-GB"/>
      <w14:ligatures w14:val="none"/>
    </w:rPr>
  </w:style>
  <w:style w:type="paragraph" w:customStyle="1" w:styleId="EnvelopeReturn1">
    <w:name w:val="Envelope Return1"/>
    <w:basedOn w:val="Normal"/>
    <w:next w:val="EnvelopeReturn"/>
    <w:semiHidden/>
    <w:rsid w:val="0057062A"/>
    <w:pPr>
      <w:spacing w:after="0" w:line="240" w:lineRule="auto"/>
    </w:pPr>
    <w:rPr>
      <w:rFonts w:ascii="Calibri Light" w:eastAsia="Times New Roman" w:hAnsi="Calibri Light" w:cs="Times New Roman"/>
      <w:kern w:val="0"/>
      <w:szCs w:val="20"/>
      <w:lang w:val="en-GB" w:eastAsia="en-GB"/>
      <w14:ligatures w14:val="none"/>
    </w:rPr>
  </w:style>
  <w:style w:type="character" w:customStyle="1" w:styleId="Hashtag1">
    <w:name w:val="Hashtag1"/>
    <w:basedOn w:val="DefaultParagraphFont"/>
    <w:uiPriority w:val="99"/>
    <w:semiHidden/>
    <w:rsid w:val="0057062A"/>
    <w:rPr>
      <w:noProof w:val="0"/>
      <w:color w:val="215E94"/>
      <w:bdr w:val="none" w:sz="0" w:space="0" w:color="auto"/>
      <w:shd w:val="clear" w:color="auto" w:fill="FFCE43"/>
      <w:lang w:val="en-GB"/>
    </w:rPr>
  </w:style>
  <w:style w:type="character" w:styleId="HTMLAcronym">
    <w:name w:val="HTML Acronym"/>
    <w:basedOn w:val="DefaultParagraphFont"/>
    <w:uiPriority w:val="39"/>
    <w:semiHidden/>
    <w:rsid w:val="0057062A"/>
    <w:rPr>
      <w:noProof w:val="0"/>
      <w:lang w:val="en-GB"/>
    </w:rPr>
  </w:style>
  <w:style w:type="paragraph" w:styleId="HTMLAddress">
    <w:name w:val="HTML Address"/>
    <w:basedOn w:val="Normal"/>
    <w:link w:val="HTMLAddressChar"/>
    <w:uiPriority w:val="39"/>
    <w:semiHidden/>
    <w:rsid w:val="0057062A"/>
    <w:pPr>
      <w:spacing w:after="0" w:line="240" w:lineRule="auto"/>
    </w:pPr>
    <w:rPr>
      <w:rFonts w:eastAsia="Times New Roman" w:cs="Times New Roman"/>
      <w:i/>
      <w:iCs/>
      <w:kern w:val="0"/>
      <w:szCs w:val="20"/>
      <w:lang w:val="en-GB" w:eastAsia="en-GB"/>
      <w14:ligatures w14:val="none"/>
    </w:rPr>
  </w:style>
  <w:style w:type="character" w:customStyle="1" w:styleId="HTMLAddressChar">
    <w:name w:val="HTML Address Char"/>
    <w:basedOn w:val="DefaultParagraphFont"/>
    <w:link w:val="HTMLAddress"/>
    <w:uiPriority w:val="39"/>
    <w:semiHidden/>
    <w:rsid w:val="0057062A"/>
    <w:rPr>
      <w:rFonts w:ascii="EC Square Sans Pro" w:eastAsia="Times New Roman" w:hAnsi="EC Square Sans Pro" w:cs="Times New Roman"/>
      <w:i/>
      <w:iCs/>
      <w:kern w:val="0"/>
      <w:sz w:val="20"/>
      <w:szCs w:val="20"/>
      <w:lang w:val="en-GB" w:eastAsia="en-GB"/>
      <w14:ligatures w14:val="none"/>
    </w:rPr>
  </w:style>
  <w:style w:type="character" w:styleId="HTMLCite">
    <w:name w:val="HTML Cite"/>
    <w:basedOn w:val="DefaultParagraphFont"/>
    <w:uiPriority w:val="39"/>
    <w:semiHidden/>
    <w:rsid w:val="0057062A"/>
    <w:rPr>
      <w:i/>
      <w:iCs/>
      <w:noProof w:val="0"/>
      <w:lang w:val="en-GB"/>
    </w:rPr>
  </w:style>
  <w:style w:type="character" w:styleId="HTMLCode">
    <w:name w:val="HTML Code"/>
    <w:basedOn w:val="DefaultParagraphFont"/>
    <w:uiPriority w:val="39"/>
    <w:semiHidden/>
    <w:rsid w:val="0057062A"/>
    <w:rPr>
      <w:rFonts w:ascii="Consolas" w:hAnsi="Consolas"/>
      <w:noProof w:val="0"/>
      <w:sz w:val="20"/>
      <w:szCs w:val="20"/>
      <w:lang w:val="en-GB"/>
    </w:rPr>
  </w:style>
  <w:style w:type="character" w:styleId="HTMLDefinition">
    <w:name w:val="HTML Definition"/>
    <w:basedOn w:val="DefaultParagraphFont"/>
    <w:uiPriority w:val="39"/>
    <w:semiHidden/>
    <w:rsid w:val="0057062A"/>
    <w:rPr>
      <w:i/>
      <w:iCs/>
      <w:noProof w:val="0"/>
      <w:lang w:val="en-GB"/>
    </w:rPr>
  </w:style>
  <w:style w:type="character" w:styleId="HTMLKeyboard">
    <w:name w:val="HTML Keyboard"/>
    <w:basedOn w:val="DefaultParagraphFont"/>
    <w:uiPriority w:val="39"/>
    <w:semiHidden/>
    <w:rsid w:val="0057062A"/>
    <w:rPr>
      <w:rFonts w:ascii="Consolas" w:hAnsi="Consolas"/>
      <w:noProof w:val="0"/>
      <w:sz w:val="20"/>
      <w:szCs w:val="20"/>
      <w:lang w:val="en-GB"/>
    </w:rPr>
  </w:style>
  <w:style w:type="paragraph" w:styleId="HTMLPreformatted">
    <w:name w:val="HTML Preformatted"/>
    <w:basedOn w:val="Normal"/>
    <w:link w:val="HTMLPreformattedChar"/>
    <w:uiPriority w:val="39"/>
    <w:semiHidden/>
    <w:rsid w:val="0057062A"/>
    <w:pPr>
      <w:spacing w:after="0" w:line="240" w:lineRule="auto"/>
    </w:pPr>
    <w:rPr>
      <w:rFonts w:ascii="Consolas" w:eastAsia="Times New Roman" w:hAnsi="Consolas" w:cs="Times New Roman"/>
      <w:kern w:val="0"/>
      <w:szCs w:val="20"/>
      <w:lang w:val="en-GB" w:eastAsia="en-GB"/>
      <w14:ligatures w14:val="none"/>
    </w:rPr>
  </w:style>
  <w:style w:type="character" w:customStyle="1" w:styleId="HTMLPreformattedChar">
    <w:name w:val="HTML Preformatted Char"/>
    <w:basedOn w:val="DefaultParagraphFont"/>
    <w:link w:val="HTMLPreformatted"/>
    <w:uiPriority w:val="39"/>
    <w:semiHidden/>
    <w:rsid w:val="0057062A"/>
    <w:rPr>
      <w:rFonts w:ascii="Consolas" w:eastAsia="Times New Roman" w:hAnsi="Consolas" w:cs="Times New Roman"/>
      <w:kern w:val="0"/>
      <w:sz w:val="20"/>
      <w:szCs w:val="20"/>
      <w:lang w:val="en-GB" w:eastAsia="en-GB"/>
      <w14:ligatures w14:val="none"/>
    </w:rPr>
  </w:style>
  <w:style w:type="character" w:styleId="HTMLSample">
    <w:name w:val="HTML Sample"/>
    <w:basedOn w:val="DefaultParagraphFont"/>
    <w:uiPriority w:val="39"/>
    <w:semiHidden/>
    <w:rsid w:val="0057062A"/>
    <w:rPr>
      <w:rFonts w:ascii="Consolas" w:hAnsi="Consolas"/>
      <w:noProof w:val="0"/>
      <w:sz w:val="24"/>
      <w:szCs w:val="24"/>
      <w:lang w:val="en-GB"/>
    </w:rPr>
  </w:style>
  <w:style w:type="character" w:styleId="HTMLTypewriter">
    <w:name w:val="HTML Typewriter"/>
    <w:basedOn w:val="DefaultParagraphFont"/>
    <w:uiPriority w:val="39"/>
    <w:semiHidden/>
    <w:rsid w:val="0057062A"/>
    <w:rPr>
      <w:rFonts w:ascii="Consolas" w:hAnsi="Consolas"/>
      <w:noProof w:val="0"/>
      <w:sz w:val="20"/>
      <w:szCs w:val="20"/>
      <w:lang w:val="en-GB"/>
    </w:rPr>
  </w:style>
  <w:style w:type="character" w:styleId="HTMLVariable">
    <w:name w:val="HTML Variable"/>
    <w:basedOn w:val="DefaultParagraphFont"/>
    <w:uiPriority w:val="39"/>
    <w:semiHidden/>
    <w:rsid w:val="0057062A"/>
    <w:rPr>
      <w:i/>
      <w:iCs/>
      <w:noProof w:val="0"/>
      <w:lang w:val="en-GB"/>
    </w:rPr>
  </w:style>
  <w:style w:type="character" w:customStyle="1" w:styleId="IntenseEmphasis1">
    <w:name w:val="Intense Emphasis1"/>
    <w:basedOn w:val="DefaultParagraphFont"/>
    <w:uiPriority w:val="39"/>
    <w:rsid w:val="0057062A"/>
    <w:rPr>
      <w:i/>
      <w:iCs/>
      <w:noProof w:val="0"/>
      <w:color w:val="7A6DB2"/>
      <w:lang w:val="en-GB"/>
    </w:rPr>
  </w:style>
  <w:style w:type="paragraph" w:customStyle="1" w:styleId="IntenseQuote1">
    <w:name w:val="Intense Quote1"/>
    <w:basedOn w:val="Normal"/>
    <w:next w:val="Normal"/>
    <w:uiPriority w:val="39"/>
    <w:rsid w:val="0057062A"/>
    <w:pPr>
      <w:pBdr>
        <w:top w:val="single" w:sz="4" w:space="10" w:color="7A6DB2"/>
        <w:bottom w:val="single" w:sz="4" w:space="10" w:color="7A6DB2"/>
      </w:pBdr>
      <w:spacing w:before="360" w:after="360" w:line="264" w:lineRule="auto"/>
      <w:ind w:left="864" w:right="864"/>
      <w:jc w:val="center"/>
    </w:pPr>
    <w:rPr>
      <w:rFonts w:eastAsia="Times New Roman" w:cs="Times New Roman"/>
      <w:i/>
      <w:iCs/>
      <w:color w:val="7A6DB2"/>
      <w:kern w:val="0"/>
      <w:szCs w:val="20"/>
      <w:lang w:val="en-GB" w:eastAsia="en-GB"/>
      <w14:ligatures w14:val="none"/>
    </w:rPr>
  </w:style>
  <w:style w:type="character" w:customStyle="1" w:styleId="IntenseQuoteChar">
    <w:name w:val="Intense Quote Char"/>
    <w:basedOn w:val="DefaultParagraphFont"/>
    <w:link w:val="IntenseQuote"/>
    <w:uiPriority w:val="39"/>
    <w:rsid w:val="0057062A"/>
    <w:rPr>
      <w:rFonts w:ascii="EC Square Sans Pro" w:eastAsia="Times New Roman" w:hAnsi="EC Square Sans Pro" w:cs="Times New Roman"/>
      <w:i/>
      <w:iCs/>
      <w:color w:val="7A6DB2"/>
      <w:sz w:val="20"/>
      <w:szCs w:val="20"/>
      <w:lang w:val="en-GB" w:eastAsia="en-GB"/>
    </w:rPr>
  </w:style>
  <w:style w:type="character" w:customStyle="1" w:styleId="IntenseReference1">
    <w:name w:val="Intense Reference1"/>
    <w:basedOn w:val="DefaultParagraphFont"/>
    <w:uiPriority w:val="39"/>
    <w:rsid w:val="0057062A"/>
    <w:rPr>
      <w:b/>
      <w:bCs/>
      <w:smallCaps/>
      <w:noProof w:val="0"/>
      <w:color w:val="7A6DB2"/>
      <w:spacing w:val="5"/>
      <w:lang w:val="en-GB"/>
    </w:rPr>
  </w:style>
  <w:style w:type="character" w:styleId="LineNumber">
    <w:name w:val="line number"/>
    <w:basedOn w:val="DefaultParagraphFont"/>
    <w:semiHidden/>
    <w:rsid w:val="0057062A"/>
    <w:rPr>
      <w:noProof w:val="0"/>
      <w:lang w:val="en-GB"/>
    </w:rPr>
  </w:style>
  <w:style w:type="paragraph" w:styleId="List">
    <w:name w:val="List"/>
    <w:basedOn w:val="Normal"/>
    <w:uiPriority w:val="3"/>
    <w:semiHidden/>
    <w:rsid w:val="0057062A"/>
    <w:pPr>
      <w:spacing w:line="264" w:lineRule="auto"/>
      <w:ind w:left="283" w:hanging="283"/>
      <w:contextualSpacing/>
    </w:pPr>
    <w:rPr>
      <w:rFonts w:eastAsia="Times New Roman" w:cs="Times New Roman"/>
      <w:kern w:val="0"/>
      <w:szCs w:val="20"/>
      <w:lang w:val="en-GB" w:eastAsia="en-GB"/>
      <w14:ligatures w14:val="none"/>
    </w:rPr>
  </w:style>
  <w:style w:type="paragraph" w:styleId="List2">
    <w:name w:val="List 2"/>
    <w:basedOn w:val="Normal"/>
    <w:uiPriority w:val="3"/>
    <w:semiHidden/>
    <w:rsid w:val="0057062A"/>
    <w:pPr>
      <w:spacing w:line="264" w:lineRule="auto"/>
      <w:ind w:left="566" w:hanging="283"/>
      <w:contextualSpacing/>
    </w:pPr>
    <w:rPr>
      <w:rFonts w:eastAsia="Times New Roman" w:cs="Times New Roman"/>
      <w:kern w:val="0"/>
      <w:szCs w:val="20"/>
      <w:lang w:val="en-GB" w:eastAsia="en-GB"/>
      <w14:ligatures w14:val="none"/>
    </w:rPr>
  </w:style>
  <w:style w:type="paragraph" w:styleId="List3">
    <w:name w:val="List 3"/>
    <w:basedOn w:val="Normal"/>
    <w:uiPriority w:val="3"/>
    <w:semiHidden/>
    <w:rsid w:val="0057062A"/>
    <w:pPr>
      <w:spacing w:line="264" w:lineRule="auto"/>
      <w:ind w:left="849" w:hanging="283"/>
      <w:contextualSpacing/>
    </w:pPr>
    <w:rPr>
      <w:rFonts w:eastAsia="Times New Roman" w:cs="Times New Roman"/>
      <w:kern w:val="0"/>
      <w:szCs w:val="20"/>
      <w:lang w:val="en-GB" w:eastAsia="en-GB"/>
      <w14:ligatures w14:val="none"/>
    </w:rPr>
  </w:style>
  <w:style w:type="paragraph" w:styleId="List4">
    <w:name w:val="List 4"/>
    <w:basedOn w:val="Normal"/>
    <w:uiPriority w:val="3"/>
    <w:semiHidden/>
    <w:rsid w:val="0057062A"/>
    <w:pPr>
      <w:spacing w:line="264" w:lineRule="auto"/>
      <w:ind w:left="1132" w:hanging="283"/>
      <w:contextualSpacing/>
    </w:pPr>
    <w:rPr>
      <w:rFonts w:eastAsia="Times New Roman" w:cs="Times New Roman"/>
      <w:kern w:val="0"/>
      <w:szCs w:val="20"/>
      <w:lang w:val="en-GB" w:eastAsia="en-GB"/>
      <w14:ligatures w14:val="none"/>
    </w:rPr>
  </w:style>
  <w:style w:type="paragraph" w:styleId="List5">
    <w:name w:val="List 5"/>
    <w:basedOn w:val="Normal"/>
    <w:uiPriority w:val="3"/>
    <w:semiHidden/>
    <w:rsid w:val="0057062A"/>
    <w:pPr>
      <w:spacing w:line="264" w:lineRule="auto"/>
      <w:ind w:left="1415" w:hanging="283"/>
      <w:contextualSpacing/>
    </w:pPr>
    <w:rPr>
      <w:rFonts w:eastAsia="Times New Roman" w:cs="Times New Roman"/>
      <w:kern w:val="0"/>
      <w:szCs w:val="20"/>
      <w:lang w:val="en-GB" w:eastAsia="en-GB"/>
      <w14:ligatures w14:val="none"/>
    </w:rPr>
  </w:style>
  <w:style w:type="paragraph" w:styleId="ListBullet5">
    <w:name w:val="List Bullet 5"/>
    <w:basedOn w:val="Normal"/>
    <w:uiPriority w:val="3"/>
    <w:semiHidden/>
    <w:rsid w:val="0057062A"/>
    <w:pPr>
      <w:numPr>
        <w:numId w:val="34"/>
      </w:numPr>
      <w:spacing w:line="264" w:lineRule="auto"/>
      <w:contextualSpacing/>
    </w:pPr>
    <w:rPr>
      <w:rFonts w:eastAsia="Times New Roman" w:cs="Times New Roman"/>
      <w:kern w:val="0"/>
      <w:szCs w:val="20"/>
      <w:lang w:val="en-GB" w:eastAsia="en-GB"/>
      <w14:ligatures w14:val="none"/>
    </w:rPr>
  </w:style>
  <w:style w:type="paragraph" w:styleId="ListContinue">
    <w:name w:val="List Continue"/>
    <w:basedOn w:val="Normal"/>
    <w:uiPriority w:val="3"/>
    <w:semiHidden/>
    <w:rsid w:val="0057062A"/>
    <w:pPr>
      <w:spacing w:after="120" w:line="264" w:lineRule="auto"/>
      <w:ind w:left="283"/>
      <w:contextualSpacing/>
    </w:pPr>
    <w:rPr>
      <w:rFonts w:eastAsia="Times New Roman" w:cs="Times New Roman"/>
      <w:kern w:val="0"/>
      <w:szCs w:val="20"/>
      <w:lang w:val="en-GB" w:eastAsia="en-GB"/>
      <w14:ligatures w14:val="none"/>
    </w:rPr>
  </w:style>
  <w:style w:type="paragraph" w:styleId="ListContinue2">
    <w:name w:val="List Continue 2"/>
    <w:basedOn w:val="Normal"/>
    <w:uiPriority w:val="3"/>
    <w:semiHidden/>
    <w:rsid w:val="0057062A"/>
    <w:pPr>
      <w:spacing w:after="120" w:line="264" w:lineRule="auto"/>
      <w:ind w:left="566"/>
      <w:contextualSpacing/>
    </w:pPr>
    <w:rPr>
      <w:rFonts w:eastAsia="Times New Roman" w:cs="Times New Roman"/>
      <w:kern w:val="0"/>
      <w:szCs w:val="20"/>
      <w:lang w:val="en-GB" w:eastAsia="en-GB"/>
      <w14:ligatures w14:val="none"/>
    </w:rPr>
  </w:style>
  <w:style w:type="paragraph" w:styleId="ListContinue3">
    <w:name w:val="List Continue 3"/>
    <w:basedOn w:val="Normal"/>
    <w:uiPriority w:val="3"/>
    <w:semiHidden/>
    <w:rsid w:val="0057062A"/>
    <w:pPr>
      <w:spacing w:after="120" w:line="264" w:lineRule="auto"/>
      <w:ind w:left="849"/>
      <w:contextualSpacing/>
    </w:pPr>
    <w:rPr>
      <w:rFonts w:eastAsia="Times New Roman" w:cs="Times New Roman"/>
      <w:kern w:val="0"/>
      <w:szCs w:val="20"/>
      <w:lang w:val="en-GB" w:eastAsia="en-GB"/>
      <w14:ligatures w14:val="none"/>
    </w:rPr>
  </w:style>
  <w:style w:type="paragraph" w:styleId="ListContinue4">
    <w:name w:val="List Continue 4"/>
    <w:basedOn w:val="Normal"/>
    <w:uiPriority w:val="3"/>
    <w:semiHidden/>
    <w:rsid w:val="0057062A"/>
    <w:pPr>
      <w:spacing w:after="120" w:line="264" w:lineRule="auto"/>
      <w:ind w:left="1132"/>
      <w:contextualSpacing/>
    </w:pPr>
    <w:rPr>
      <w:rFonts w:eastAsia="Times New Roman" w:cs="Times New Roman"/>
      <w:kern w:val="0"/>
      <w:szCs w:val="20"/>
      <w:lang w:val="en-GB" w:eastAsia="en-GB"/>
      <w14:ligatures w14:val="none"/>
    </w:rPr>
  </w:style>
  <w:style w:type="paragraph" w:styleId="ListContinue5">
    <w:name w:val="List Continue 5"/>
    <w:basedOn w:val="Normal"/>
    <w:uiPriority w:val="3"/>
    <w:semiHidden/>
    <w:rsid w:val="0057062A"/>
    <w:pPr>
      <w:spacing w:after="120" w:line="264" w:lineRule="auto"/>
      <w:ind w:left="1415"/>
      <w:contextualSpacing/>
    </w:pPr>
    <w:rPr>
      <w:rFonts w:eastAsia="Times New Roman" w:cs="Times New Roman"/>
      <w:kern w:val="0"/>
      <w:szCs w:val="20"/>
      <w:lang w:val="en-GB" w:eastAsia="en-GB"/>
      <w14:ligatures w14:val="none"/>
    </w:rPr>
  </w:style>
  <w:style w:type="paragraph" w:styleId="ListNumber5">
    <w:name w:val="List Number 5"/>
    <w:basedOn w:val="Normal"/>
    <w:uiPriority w:val="3"/>
    <w:semiHidden/>
    <w:rsid w:val="0057062A"/>
    <w:pPr>
      <w:numPr>
        <w:numId w:val="36"/>
      </w:numPr>
      <w:spacing w:line="264" w:lineRule="auto"/>
      <w:contextualSpacing/>
    </w:pPr>
    <w:rPr>
      <w:rFonts w:eastAsia="Times New Roman" w:cs="Times New Roman"/>
      <w:kern w:val="0"/>
      <w:szCs w:val="20"/>
      <w:lang w:val="en-GB" w:eastAsia="en-GB"/>
      <w14:ligatures w14:val="none"/>
    </w:rPr>
  </w:style>
  <w:style w:type="character" w:customStyle="1" w:styleId="Mention1">
    <w:name w:val="Mention1"/>
    <w:basedOn w:val="DefaultParagraphFont"/>
    <w:uiPriority w:val="99"/>
    <w:semiHidden/>
    <w:rsid w:val="0057062A"/>
    <w:rPr>
      <w:noProof w:val="0"/>
      <w:color w:val="215E94"/>
      <w:bdr w:val="none" w:sz="0" w:space="0" w:color="auto"/>
      <w:shd w:val="clear" w:color="auto" w:fill="F2F2F2"/>
      <w:lang w:val="en-GB"/>
    </w:rPr>
  </w:style>
  <w:style w:type="paragraph" w:customStyle="1" w:styleId="MessageHeader1">
    <w:name w:val="Message Header1"/>
    <w:basedOn w:val="Normal"/>
    <w:next w:val="MessageHeader"/>
    <w:link w:val="MessageHeaderChar"/>
    <w:semiHidden/>
    <w:rsid w:val="0057062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libri Light" w:eastAsia="Times New Roman" w:hAnsi="Calibri Light" w:cs="Times New Roman"/>
      <w:sz w:val="24"/>
      <w:szCs w:val="24"/>
      <w:lang w:val="en-GB" w:eastAsia="en-GB"/>
    </w:rPr>
  </w:style>
  <w:style w:type="character" w:customStyle="1" w:styleId="MessageHeaderChar">
    <w:name w:val="Message Header Char"/>
    <w:basedOn w:val="DefaultParagraphFont"/>
    <w:link w:val="MessageHeader1"/>
    <w:semiHidden/>
    <w:rsid w:val="0057062A"/>
    <w:rPr>
      <w:rFonts w:ascii="Calibri Light" w:eastAsia="Times New Roman" w:hAnsi="Calibri Light" w:cs="Times New Roman"/>
      <w:sz w:val="24"/>
      <w:szCs w:val="24"/>
      <w:shd w:val="pct20" w:color="auto" w:fill="auto"/>
      <w:lang w:val="en-GB" w:eastAsia="en-GB"/>
    </w:rPr>
  </w:style>
  <w:style w:type="paragraph" w:styleId="NormalIndent">
    <w:name w:val="Normal Indent"/>
    <w:basedOn w:val="Normal"/>
    <w:semiHidden/>
    <w:rsid w:val="0057062A"/>
    <w:pPr>
      <w:spacing w:line="264" w:lineRule="auto"/>
      <w:ind w:left="720"/>
    </w:pPr>
    <w:rPr>
      <w:rFonts w:eastAsia="Times New Roman" w:cs="Times New Roman"/>
      <w:kern w:val="0"/>
      <w:szCs w:val="20"/>
      <w:lang w:val="en-GB" w:eastAsia="en-GB"/>
      <w14:ligatures w14:val="none"/>
    </w:rPr>
  </w:style>
  <w:style w:type="paragraph" w:styleId="NoteHeading">
    <w:name w:val="Note Heading"/>
    <w:basedOn w:val="Normal"/>
    <w:next w:val="Normal"/>
    <w:link w:val="NoteHeadingChar"/>
    <w:semiHidden/>
    <w:rsid w:val="0057062A"/>
    <w:pPr>
      <w:spacing w:after="0" w:line="240" w:lineRule="auto"/>
    </w:pPr>
    <w:rPr>
      <w:rFonts w:eastAsia="Times New Roman" w:cs="Times New Roman"/>
      <w:kern w:val="0"/>
      <w:szCs w:val="20"/>
      <w:lang w:val="en-GB" w:eastAsia="en-GB"/>
      <w14:ligatures w14:val="none"/>
    </w:rPr>
  </w:style>
  <w:style w:type="character" w:customStyle="1" w:styleId="NoteHeadingChar">
    <w:name w:val="Note Heading Char"/>
    <w:basedOn w:val="DefaultParagraphFont"/>
    <w:link w:val="NoteHeading"/>
    <w:semiHidden/>
    <w:rsid w:val="0057062A"/>
    <w:rPr>
      <w:rFonts w:ascii="EC Square Sans Pro" w:eastAsia="Times New Roman" w:hAnsi="EC Square Sans Pro" w:cs="Times New Roman"/>
      <w:kern w:val="0"/>
      <w:sz w:val="20"/>
      <w:szCs w:val="20"/>
      <w:lang w:val="en-GB" w:eastAsia="en-GB"/>
      <w14:ligatures w14:val="none"/>
    </w:rPr>
  </w:style>
  <w:style w:type="character" w:styleId="PageNumber">
    <w:name w:val="page number"/>
    <w:basedOn w:val="DefaultParagraphFont"/>
    <w:semiHidden/>
    <w:rsid w:val="0057062A"/>
    <w:rPr>
      <w:noProof w:val="0"/>
      <w:lang w:val="en-GB"/>
    </w:rPr>
  </w:style>
  <w:style w:type="paragraph" w:styleId="PlainText">
    <w:name w:val="Plain Text"/>
    <w:basedOn w:val="Normal"/>
    <w:link w:val="PlainTextChar"/>
    <w:semiHidden/>
    <w:rsid w:val="0057062A"/>
    <w:pPr>
      <w:spacing w:after="0" w:line="240" w:lineRule="auto"/>
    </w:pPr>
    <w:rPr>
      <w:rFonts w:ascii="Consolas" w:eastAsia="Times New Roman" w:hAnsi="Consolas" w:cs="Times New Roman"/>
      <w:kern w:val="0"/>
      <w:sz w:val="21"/>
      <w:szCs w:val="21"/>
      <w:lang w:val="en-GB" w:eastAsia="en-GB"/>
      <w14:ligatures w14:val="none"/>
    </w:rPr>
  </w:style>
  <w:style w:type="character" w:customStyle="1" w:styleId="PlainTextChar">
    <w:name w:val="Plain Text Char"/>
    <w:basedOn w:val="DefaultParagraphFont"/>
    <w:link w:val="PlainText"/>
    <w:semiHidden/>
    <w:rsid w:val="0057062A"/>
    <w:rPr>
      <w:rFonts w:ascii="Consolas" w:eastAsia="Times New Roman" w:hAnsi="Consolas" w:cs="Times New Roman"/>
      <w:kern w:val="0"/>
      <w:sz w:val="21"/>
      <w:szCs w:val="21"/>
      <w:lang w:val="en-GB" w:eastAsia="en-GB"/>
      <w14:ligatures w14:val="none"/>
    </w:rPr>
  </w:style>
  <w:style w:type="paragraph" w:customStyle="1" w:styleId="Quote1">
    <w:name w:val="Quote1"/>
    <w:basedOn w:val="Normal"/>
    <w:next w:val="Normal"/>
    <w:rsid w:val="0057062A"/>
    <w:pPr>
      <w:spacing w:before="200" w:line="264" w:lineRule="auto"/>
      <w:ind w:left="864" w:right="864"/>
      <w:jc w:val="center"/>
    </w:pPr>
    <w:rPr>
      <w:rFonts w:eastAsia="Times New Roman" w:cs="Times New Roman"/>
      <w:i/>
      <w:iCs/>
      <w:color w:val="7A6DB2"/>
      <w:kern w:val="0"/>
      <w:szCs w:val="20"/>
      <w:lang w:val="en-GB" w:eastAsia="en-GB"/>
      <w14:ligatures w14:val="none"/>
    </w:rPr>
  </w:style>
  <w:style w:type="character" w:customStyle="1" w:styleId="QuoteChar">
    <w:name w:val="Quote Char"/>
    <w:basedOn w:val="DefaultParagraphFont"/>
    <w:link w:val="Quote"/>
    <w:rsid w:val="0057062A"/>
    <w:rPr>
      <w:rFonts w:ascii="EC Square Sans Pro" w:eastAsia="Times New Roman" w:hAnsi="EC Square Sans Pro" w:cs="Times New Roman"/>
      <w:i/>
      <w:iCs/>
      <w:color w:val="7A6DB2"/>
      <w:sz w:val="20"/>
      <w:szCs w:val="20"/>
      <w:lang w:val="en-GB" w:eastAsia="en-GB"/>
    </w:rPr>
  </w:style>
  <w:style w:type="paragraph" w:styleId="Salutation">
    <w:name w:val="Salutation"/>
    <w:basedOn w:val="Normal"/>
    <w:next w:val="Normal"/>
    <w:link w:val="SalutationChar"/>
    <w:semiHidden/>
    <w:rsid w:val="0057062A"/>
    <w:pPr>
      <w:spacing w:line="264" w:lineRule="auto"/>
    </w:pPr>
    <w:rPr>
      <w:rFonts w:eastAsia="Times New Roman" w:cs="Times New Roman"/>
      <w:kern w:val="0"/>
      <w:szCs w:val="20"/>
      <w:lang w:val="en-GB" w:eastAsia="en-GB"/>
      <w14:ligatures w14:val="none"/>
    </w:rPr>
  </w:style>
  <w:style w:type="character" w:customStyle="1" w:styleId="SalutationChar">
    <w:name w:val="Salutation Char"/>
    <w:basedOn w:val="DefaultParagraphFont"/>
    <w:link w:val="Salutation"/>
    <w:semiHidden/>
    <w:rsid w:val="0057062A"/>
    <w:rPr>
      <w:rFonts w:ascii="EC Square Sans Pro" w:eastAsia="Times New Roman" w:hAnsi="EC Square Sans Pro" w:cs="Times New Roman"/>
      <w:kern w:val="0"/>
      <w:sz w:val="20"/>
      <w:szCs w:val="20"/>
      <w:lang w:val="en-GB" w:eastAsia="en-GB"/>
      <w14:ligatures w14:val="none"/>
    </w:rPr>
  </w:style>
  <w:style w:type="paragraph" w:styleId="Signature">
    <w:name w:val="Signature"/>
    <w:basedOn w:val="Normal"/>
    <w:link w:val="SignatureChar"/>
    <w:semiHidden/>
    <w:rsid w:val="0057062A"/>
    <w:pPr>
      <w:spacing w:after="0" w:line="240" w:lineRule="auto"/>
      <w:ind w:left="4252"/>
    </w:pPr>
    <w:rPr>
      <w:rFonts w:eastAsia="Times New Roman" w:cs="Times New Roman"/>
      <w:kern w:val="0"/>
      <w:szCs w:val="20"/>
      <w:lang w:val="en-GB" w:eastAsia="en-GB"/>
      <w14:ligatures w14:val="none"/>
    </w:rPr>
  </w:style>
  <w:style w:type="character" w:customStyle="1" w:styleId="SignatureChar">
    <w:name w:val="Signature Char"/>
    <w:basedOn w:val="DefaultParagraphFont"/>
    <w:link w:val="Signature"/>
    <w:semiHidden/>
    <w:rsid w:val="0057062A"/>
    <w:rPr>
      <w:rFonts w:ascii="EC Square Sans Pro" w:eastAsia="Times New Roman" w:hAnsi="EC Square Sans Pro" w:cs="Times New Roman"/>
      <w:kern w:val="0"/>
      <w:sz w:val="20"/>
      <w:szCs w:val="20"/>
      <w:lang w:val="en-GB" w:eastAsia="en-GB"/>
      <w14:ligatures w14:val="none"/>
    </w:rPr>
  </w:style>
  <w:style w:type="character" w:customStyle="1" w:styleId="SmartHyperlink1">
    <w:name w:val="Smart Hyperlink1"/>
    <w:basedOn w:val="DefaultParagraphFont"/>
    <w:uiPriority w:val="99"/>
    <w:semiHidden/>
    <w:rsid w:val="0057062A"/>
    <w:rPr>
      <w:noProof w:val="0"/>
      <w:color w:val="215E94"/>
      <w:u w:val="dotted"/>
      <w:lang w:val="en-GB"/>
    </w:rPr>
  </w:style>
  <w:style w:type="character" w:customStyle="1" w:styleId="SmartLink1">
    <w:name w:val="SmartLink1"/>
    <w:basedOn w:val="DefaultParagraphFont"/>
    <w:uiPriority w:val="99"/>
    <w:semiHidden/>
    <w:rsid w:val="0057062A"/>
    <w:rPr>
      <w:noProof w:val="0"/>
      <w:color w:val="215E94"/>
      <w:u w:val="single"/>
      <w:shd w:val="clear" w:color="auto" w:fill="F3F2F1"/>
      <w:lang w:val="en-GB"/>
    </w:rPr>
  </w:style>
  <w:style w:type="character" w:customStyle="1" w:styleId="SubtleEmphasis1">
    <w:name w:val="Subtle Emphasis1"/>
    <w:basedOn w:val="DefaultParagraphFont"/>
    <w:rsid w:val="0057062A"/>
    <w:rPr>
      <w:i/>
      <w:iCs/>
      <w:noProof w:val="0"/>
      <w:color w:val="404040"/>
      <w:lang w:val="en-GB"/>
    </w:rPr>
  </w:style>
  <w:style w:type="character" w:customStyle="1" w:styleId="SubtleReference1">
    <w:name w:val="Subtle Reference1"/>
    <w:basedOn w:val="DefaultParagraphFont"/>
    <w:rsid w:val="0057062A"/>
    <w:rPr>
      <w:smallCaps/>
      <w:noProof w:val="0"/>
      <w:color w:val="5A5A5A"/>
      <w:lang w:val="en-GB"/>
    </w:rPr>
  </w:style>
  <w:style w:type="paragraph" w:customStyle="1" w:styleId="TableofAuthorities1">
    <w:name w:val="Table of Authorities1"/>
    <w:basedOn w:val="Normal"/>
    <w:next w:val="Normal"/>
    <w:semiHidden/>
    <w:rsid w:val="0057062A"/>
    <w:pPr>
      <w:spacing w:after="0" w:line="264" w:lineRule="auto"/>
      <w:ind w:left="200" w:hanging="200"/>
    </w:pPr>
    <w:rPr>
      <w:rFonts w:eastAsia="Times New Roman" w:cs="Times New Roman"/>
      <w:color w:val="215E94"/>
      <w:kern w:val="0"/>
      <w:szCs w:val="20"/>
      <w:lang w:val="en-GB" w:eastAsia="en-GB"/>
      <w14:ligatures w14:val="none"/>
    </w:rPr>
  </w:style>
  <w:style w:type="paragraph" w:customStyle="1" w:styleId="TOAHeading1">
    <w:name w:val="TOA Heading1"/>
    <w:basedOn w:val="Normal"/>
    <w:next w:val="Normal"/>
    <w:semiHidden/>
    <w:rsid w:val="0057062A"/>
    <w:pPr>
      <w:spacing w:before="120" w:line="264" w:lineRule="auto"/>
    </w:pPr>
    <w:rPr>
      <w:rFonts w:ascii="Calibri Light" w:eastAsia="Times New Roman" w:hAnsi="Calibri Light" w:cs="Times New Roman"/>
      <w:b/>
      <w:bCs/>
      <w:kern w:val="0"/>
      <w:sz w:val="24"/>
      <w:szCs w:val="24"/>
      <w:lang w:val="en-GB" w:eastAsia="en-GB"/>
      <w14:ligatures w14:val="none"/>
    </w:rPr>
  </w:style>
  <w:style w:type="character" w:customStyle="1" w:styleId="UnresolvedMention1">
    <w:name w:val="Unresolved Mention1"/>
    <w:basedOn w:val="DefaultParagraphFont"/>
    <w:uiPriority w:val="99"/>
    <w:semiHidden/>
    <w:rsid w:val="0057062A"/>
    <w:rPr>
      <w:noProof w:val="0"/>
      <w:color w:val="605E5C"/>
      <w:bdr w:val="none" w:sz="0" w:space="0" w:color="auto"/>
      <w:shd w:val="clear" w:color="auto" w:fill="F2F2F2"/>
      <w:lang w:val="en-GB"/>
    </w:rPr>
  </w:style>
  <w:style w:type="numbering" w:customStyle="1" w:styleId="amprLISTblackbullets">
    <w:name w:val="[ampr LIST black]  bullets"/>
    <w:uiPriority w:val="99"/>
    <w:rsid w:val="0057062A"/>
    <w:pPr>
      <w:numPr>
        <w:numId w:val="27"/>
      </w:numPr>
    </w:pPr>
  </w:style>
  <w:style w:type="paragraph" w:customStyle="1" w:styleId="ListBullet-Black">
    <w:name w:val="List Bullet - Black"/>
    <w:basedOn w:val="Normal"/>
    <w:uiPriority w:val="3"/>
    <w:rsid w:val="0057062A"/>
    <w:pPr>
      <w:numPr>
        <w:numId w:val="33"/>
      </w:numPr>
      <w:tabs>
        <w:tab w:val="num" w:pos="360"/>
      </w:tabs>
      <w:spacing w:before="60" w:after="60" w:line="264" w:lineRule="auto"/>
      <w:ind w:left="360" w:hanging="360"/>
      <w:jc w:val="both"/>
    </w:pPr>
    <w:rPr>
      <w:rFonts w:eastAsia="EC Square Sans Pro" w:cs="Times New Roman"/>
      <w:color w:val="000000"/>
      <w:kern w:val="0"/>
      <w:szCs w:val="21"/>
      <w:lang w:val="en-GB" w:eastAsia="fr-BE"/>
      <w14:ligatures w14:val="none"/>
    </w:rPr>
  </w:style>
  <w:style w:type="paragraph" w:customStyle="1" w:styleId="ListBullet-BlackLevel2">
    <w:name w:val="List Bullet - Black (Level 2)"/>
    <w:basedOn w:val="Normal"/>
    <w:uiPriority w:val="3"/>
    <w:rsid w:val="0057062A"/>
    <w:pPr>
      <w:numPr>
        <w:ilvl w:val="1"/>
        <w:numId w:val="33"/>
      </w:numPr>
      <w:tabs>
        <w:tab w:val="num" w:pos="360"/>
      </w:tabs>
      <w:spacing w:before="60" w:after="60" w:line="264" w:lineRule="auto"/>
      <w:ind w:left="360" w:hanging="360"/>
      <w:jc w:val="both"/>
    </w:pPr>
    <w:rPr>
      <w:rFonts w:eastAsia="EC Square Sans Pro" w:cs="Times New Roman"/>
      <w:color w:val="000000"/>
      <w:kern w:val="0"/>
      <w:szCs w:val="21"/>
      <w:lang w:val="en-GB" w:eastAsia="fr-BE"/>
      <w14:ligatures w14:val="none"/>
    </w:rPr>
  </w:style>
  <w:style w:type="paragraph" w:customStyle="1" w:styleId="amprboxPURPLEdashedbulletlist">
    <w:name w:val="[ampr box PURPLE dashed] bullet list"/>
    <w:basedOn w:val="amprboxPURPLEdashedtext"/>
    <w:uiPriority w:val="7"/>
    <w:qFormat/>
    <w:rsid w:val="0057062A"/>
    <w:pPr>
      <w:numPr>
        <w:numId w:val="26"/>
      </w:numPr>
      <w:tabs>
        <w:tab w:val="num" w:pos="1984"/>
      </w:tabs>
      <w:spacing w:before="60" w:after="60"/>
      <w:ind w:left="658" w:hanging="357"/>
    </w:pPr>
  </w:style>
  <w:style w:type="paragraph" w:customStyle="1" w:styleId="amprboxPURPLEdashedheading">
    <w:name w:val="[ampr box PURPLE dashed] heading"/>
    <w:basedOn w:val="amprboxPURPLEdashedtext"/>
    <w:next w:val="Normal"/>
    <w:uiPriority w:val="7"/>
    <w:qFormat/>
    <w:rsid w:val="0057062A"/>
    <w:pPr>
      <w:keepNext/>
    </w:pPr>
    <w:rPr>
      <w:b/>
      <w:color w:val="7A6DB2"/>
    </w:rPr>
  </w:style>
  <w:style w:type="paragraph" w:customStyle="1" w:styleId="amprboxPURPLEdashedtext">
    <w:name w:val="[ampr box PURPLE dashed] text"/>
    <w:basedOn w:val="Normal"/>
    <w:uiPriority w:val="7"/>
    <w:qFormat/>
    <w:rsid w:val="0057062A"/>
    <w:pPr>
      <w:keepLines/>
      <w:pBdr>
        <w:top w:val="dashSmallGap" w:sz="12" w:space="12" w:color="7A6DB2"/>
        <w:left w:val="dashSmallGap" w:sz="12" w:space="12" w:color="7A6DB2"/>
        <w:bottom w:val="dashSmallGap" w:sz="12" w:space="12" w:color="7A6DB2"/>
        <w:right w:val="dashSmallGap" w:sz="12" w:space="12" w:color="7A6DB2"/>
      </w:pBdr>
      <w:spacing w:line="264" w:lineRule="auto"/>
      <w:ind w:left="301" w:right="301"/>
      <w:jc w:val="both"/>
    </w:pPr>
    <w:rPr>
      <w:rFonts w:eastAsia="EC Square Sans Pro" w:cs="Times New Roman"/>
      <w:color w:val="000000"/>
      <w:kern w:val="0"/>
      <w:szCs w:val="21"/>
      <w:lang w:val="en-GB" w:eastAsia="fr-BE"/>
      <w14:ligatures w14:val="none"/>
    </w:rPr>
  </w:style>
  <w:style w:type="character" w:customStyle="1" w:styleId="amprcharBoldBlue">
    <w:name w:val="[ampr char] Bold Blue"/>
    <w:semiHidden/>
    <w:qFormat/>
    <w:rsid w:val="0057062A"/>
    <w:rPr>
      <w:b/>
      <w:noProof w:val="0"/>
      <w:color w:val="215E94"/>
      <w:spacing w:val="1"/>
      <w:bdr w:val="none" w:sz="0" w:space="0" w:color="auto"/>
      <w:shd w:val="clear" w:color="auto" w:fill="auto"/>
      <w:lang w:val="en-GB"/>
    </w:rPr>
  </w:style>
  <w:style w:type="numbering" w:customStyle="1" w:styleId="amprLISTgreenbullets">
    <w:name w:val="[ampr LIST green] bullets"/>
    <w:uiPriority w:val="99"/>
    <w:rsid w:val="0057062A"/>
    <w:pPr>
      <w:numPr>
        <w:numId w:val="28"/>
      </w:numPr>
    </w:pPr>
  </w:style>
  <w:style w:type="paragraph" w:customStyle="1" w:styleId="amprLISTtealbullets-L1">
    <w:name w:val="[ampr LIST teal] bullets - L1"/>
    <w:basedOn w:val="Normal"/>
    <w:uiPriority w:val="3"/>
    <w:qFormat/>
    <w:rsid w:val="00066C87"/>
    <w:pPr>
      <w:numPr>
        <w:numId w:val="44"/>
      </w:numPr>
      <w:spacing w:before="60" w:after="60"/>
      <w:jc w:val="both"/>
    </w:pPr>
    <w:rPr>
      <w:rFonts w:eastAsia="Times New Roman" w:cs="Tunga"/>
      <w:kern w:val="0"/>
      <w:szCs w:val="20"/>
      <w:lang w:val="en-GB" w:eastAsia="en-GB"/>
      <w14:ligatures w14:val="none"/>
    </w:rPr>
  </w:style>
  <w:style w:type="paragraph" w:customStyle="1" w:styleId="amprLISTpurplebullets-L2">
    <w:name w:val="[ampr LIST purple] bullets - L2"/>
    <w:basedOn w:val="Normal"/>
    <w:uiPriority w:val="3"/>
    <w:qFormat/>
    <w:rsid w:val="00066C87"/>
    <w:pPr>
      <w:numPr>
        <w:numId w:val="52"/>
      </w:numPr>
      <w:spacing w:before="60" w:after="60" w:line="264" w:lineRule="auto"/>
      <w:jc w:val="both"/>
    </w:pPr>
    <w:rPr>
      <w:rFonts w:eastAsia="EC Square Sans Pro" w:cs="Times New Roman"/>
      <w:color w:val="000000"/>
      <w:kern w:val="0"/>
      <w:szCs w:val="21"/>
      <w:lang w:val="en-GB" w:eastAsia="fr-BE"/>
      <w14:ligatures w14:val="none"/>
    </w:rPr>
  </w:style>
  <w:style w:type="paragraph" w:customStyle="1" w:styleId="amprBodyText">
    <w:name w:val="[ampr] Body Text"/>
    <w:basedOn w:val="Normal"/>
    <w:uiPriority w:val="1"/>
    <w:semiHidden/>
    <w:qFormat/>
    <w:rsid w:val="0057062A"/>
    <w:pPr>
      <w:spacing w:line="264" w:lineRule="auto"/>
    </w:pPr>
    <w:rPr>
      <w:rFonts w:eastAsia="EC Square Sans Pro" w:cs="Times New Roman"/>
      <w:kern w:val="0"/>
      <w:szCs w:val="21"/>
      <w:lang w:val="en-GB" w:eastAsia="zh-CN"/>
      <w14:ligatures w14:val="none"/>
    </w:rPr>
  </w:style>
  <w:style w:type="paragraph" w:customStyle="1" w:styleId="amprH4Subhead1">
    <w:name w:val="[ampr H4] Subhead 1"/>
    <w:basedOn w:val="Normal"/>
    <w:next w:val="Normal"/>
    <w:uiPriority w:val="9"/>
    <w:qFormat/>
    <w:rsid w:val="0057062A"/>
    <w:pPr>
      <w:keepNext/>
      <w:keepLines/>
      <w:suppressAutoHyphens/>
      <w:spacing w:before="360" w:line="264" w:lineRule="auto"/>
      <w:outlineLvl w:val="3"/>
    </w:pPr>
    <w:rPr>
      <w:rFonts w:eastAsia="EC Square Sans Pro" w:cs="Times New Roman"/>
      <w:color w:val="7A6DB2"/>
      <w:kern w:val="0"/>
      <w:szCs w:val="21"/>
      <w:lang w:val="en-GB" w:eastAsia="zh-CN"/>
      <w14:ligatures w14:val="none"/>
    </w:rPr>
  </w:style>
  <w:style w:type="paragraph" w:customStyle="1" w:styleId="amprH4Subhead1-Numbered-111">
    <w:name w:val="[ampr H4] Subhead 1 - Numbered - 1.1.1."/>
    <w:basedOn w:val="amprH4Subhead1"/>
    <w:next w:val="Normal"/>
    <w:uiPriority w:val="9"/>
    <w:qFormat/>
    <w:rsid w:val="0057062A"/>
    <w:pPr>
      <w:numPr>
        <w:ilvl w:val="2"/>
        <w:numId w:val="53"/>
      </w:numPr>
      <w:spacing w:before="480"/>
    </w:pPr>
    <w:rPr>
      <w:color w:val="215E94"/>
      <w:sz w:val="28"/>
    </w:rPr>
  </w:style>
  <w:style w:type="paragraph" w:customStyle="1" w:styleId="amprH2Title1">
    <w:name w:val="[ampr H2] Title 1"/>
    <w:basedOn w:val="ListParagraph"/>
    <w:next w:val="Normal"/>
    <w:uiPriority w:val="9"/>
    <w:qFormat/>
    <w:rsid w:val="001E48C2"/>
    <w:pPr>
      <w:keepNext/>
      <w:keepLines/>
      <w:suppressAutoHyphens/>
      <w:spacing w:after="240" w:line="264" w:lineRule="auto"/>
      <w:ind w:left="0"/>
      <w:outlineLvl w:val="0"/>
    </w:pPr>
    <w:rPr>
      <w:rFonts w:ascii="EC Square Sans Pro" w:eastAsia="EC Square Sans Pro" w:hAnsi="EC Square Sans Pro"/>
      <w:color w:val="003399" w:themeColor="text2"/>
      <w:kern w:val="0"/>
      <w:sz w:val="48"/>
      <w:szCs w:val="48"/>
      <w:lang w:eastAsia="zh-CN"/>
      <w14:ligatures w14:val="none"/>
      <w14:stylisticSets>
        <w14:styleSet w14:id="1"/>
      </w14:stylisticSets>
    </w:rPr>
  </w:style>
  <w:style w:type="paragraph" w:customStyle="1" w:styleId="amprH3Title2-Numbered-11">
    <w:name w:val="[ampr H3] Title 2 - Numbered - 1.1."/>
    <w:basedOn w:val="Normal"/>
    <w:next w:val="Normal"/>
    <w:uiPriority w:val="9"/>
    <w:qFormat/>
    <w:rsid w:val="00081853"/>
    <w:pPr>
      <w:keepNext/>
      <w:keepLines/>
      <w:numPr>
        <w:ilvl w:val="1"/>
        <w:numId w:val="53"/>
      </w:numPr>
      <w:pBdr>
        <w:bottom w:val="single" w:sz="6" w:space="1" w:color="DC165D" w:themeColor="accent5"/>
      </w:pBdr>
      <w:suppressAutoHyphens/>
      <w:spacing w:before="360" w:line="264" w:lineRule="auto"/>
      <w:outlineLvl w:val="2"/>
    </w:pPr>
    <w:rPr>
      <w:rFonts w:eastAsia="EC Square Sans Pro" w:cs="Times New Roman"/>
      <w:b/>
      <w:color w:val="003399" w:themeColor="text2"/>
      <w:kern w:val="0"/>
      <w:sz w:val="28"/>
      <w:szCs w:val="21"/>
      <w:lang w:val="en-GB" w:eastAsia="zh-CN"/>
      <w14:ligatures w14:val="none"/>
    </w:rPr>
  </w:style>
  <w:style w:type="paragraph" w:customStyle="1" w:styleId="amprH5Subhead2-Numbered-1111">
    <w:name w:val="[ampr H5] Subhead 2 - Numbered - 1.1.1.1."/>
    <w:basedOn w:val="Normal"/>
    <w:next w:val="Normal"/>
    <w:uiPriority w:val="9"/>
    <w:qFormat/>
    <w:rsid w:val="0057062A"/>
    <w:pPr>
      <w:keepNext/>
      <w:keepLines/>
      <w:numPr>
        <w:ilvl w:val="3"/>
        <w:numId w:val="53"/>
      </w:numPr>
      <w:suppressAutoHyphens/>
      <w:spacing w:before="480" w:line="264" w:lineRule="auto"/>
      <w:outlineLvl w:val="4"/>
    </w:pPr>
    <w:rPr>
      <w:rFonts w:eastAsia="EC Square Sans Pro" w:cs="Times New Roman"/>
      <w:b/>
      <w:color w:val="215E94"/>
      <w:kern w:val="0"/>
      <w:szCs w:val="21"/>
      <w:lang w:val="en-GB" w:eastAsia="zh-CN"/>
      <w14:ligatures w14:val="none"/>
    </w:rPr>
  </w:style>
  <w:style w:type="paragraph" w:customStyle="1" w:styleId="amprboxGREYtext">
    <w:name w:val="[ampr box GREY] text"/>
    <w:basedOn w:val="Normal"/>
    <w:uiPriority w:val="7"/>
    <w:qFormat/>
    <w:rsid w:val="0057062A"/>
    <w:pPr>
      <w:pBdr>
        <w:top w:val="single" w:sz="12" w:space="12" w:color="F2F2F2"/>
        <w:left w:val="single" w:sz="12" w:space="12" w:color="F2F2F2"/>
        <w:bottom w:val="single" w:sz="12" w:space="12" w:color="F2F2F2"/>
        <w:right w:val="single" w:sz="12" w:space="12" w:color="F2F2F2"/>
      </w:pBdr>
      <w:shd w:val="clear" w:color="auto" w:fill="F2F2F2"/>
      <w:spacing w:line="264" w:lineRule="auto"/>
      <w:ind w:left="301" w:right="301"/>
    </w:pPr>
    <w:rPr>
      <w:rFonts w:eastAsia="EC Square Sans Pro" w:cs="Times New Roman"/>
      <w:kern w:val="0"/>
      <w:szCs w:val="21"/>
      <w:lang w:val="en-GB" w:eastAsia="fr-BE"/>
      <w14:ligatures w14:val="none"/>
    </w:rPr>
  </w:style>
  <w:style w:type="numbering" w:customStyle="1" w:styleId="amprHLISTNumberedheadings">
    <w:name w:val="[ampr H LIST] Numbered headings"/>
    <w:uiPriority w:val="99"/>
    <w:rsid w:val="0057062A"/>
    <w:pPr>
      <w:numPr>
        <w:numId w:val="49"/>
      </w:numPr>
    </w:pPr>
  </w:style>
  <w:style w:type="paragraph" w:customStyle="1" w:styleId="amprboxBLUEdashedtext">
    <w:name w:val="[ampr box BLUE dashed] text"/>
    <w:basedOn w:val="Normal"/>
    <w:uiPriority w:val="7"/>
    <w:qFormat/>
    <w:rsid w:val="0057062A"/>
    <w:pPr>
      <w:keepLines/>
      <w:pBdr>
        <w:top w:val="dashSmallGap" w:sz="12" w:space="12" w:color="215E94"/>
        <w:left w:val="dashSmallGap" w:sz="12" w:space="12" w:color="215E94"/>
        <w:bottom w:val="dashSmallGap" w:sz="12" w:space="12" w:color="215E94"/>
        <w:right w:val="dashSmallGap" w:sz="12" w:space="12" w:color="215E94"/>
      </w:pBdr>
      <w:spacing w:line="264" w:lineRule="auto"/>
      <w:ind w:left="301" w:right="301"/>
    </w:pPr>
    <w:rPr>
      <w:rFonts w:eastAsia="EC Square Sans Pro" w:cs="Times New Roman"/>
      <w:color w:val="000000"/>
      <w:kern w:val="0"/>
      <w:szCs w:val="21"/>
      <w:lang w:val="en-GB" w:eastAsia="fr-BE"/>
      <w14:ligatures w14:val="none"/>
    </w:rPr>
  </w:style>
  <w:style w:type="paragraph" w:customStyle="1" w:styleId="amprboxBLUEdashedbulletlist">
    <w:name w:val="[ampr box BLUE dashed] bullet list"/>
    <w:basedOn w:val="amprboxBLUEdashedtext"/>
    <w:next w:val="amprboxBLUEdashedtext"/>
    <w:uiPriority w:val="7"/>
    <w:qFormat/>
    <w:rsid w:val="0057062A"/>
    <w:pPr>
      <w:numPr>
        <w:numId w:val="24"/>
      </w:numPr>
      <w:tabs>
        <w:tab w:val="num" w:pos="850"/>
      </w:tabs>
      <w:spacing w:before="60" w:after="60"/>
      <w:ind w:left="658" w:hanging="357"/>
    </w:pPr>
  </w:style>
  <w:style w:type="paragraph" w:customStyle="1" w:styleId="amprboxBLUEdashedheading">
    <w:name w:val="[ampr box BLUE dashed] heading"/>
    <w:basedOn w:val="amprboxBLUEdashedtext"/>
    <w:next w:val="amprboxBLUEdashedtext"/>
    <w:uiPriority w:val="7"/>
    <w:qFormat/>
    <w:rsid w:val="0057062A"/>
    <w:rPr>
      <w:b/>
      <w:color w:val="215E94"/>
    </w:rPr>
  </w:style>
  <w:style w:type="table" w:customStyle="1" w:styleId="amprtableboxBLUEdashed">
    <w:name w:val="[ampr] table box BLUE dashed"/>
    <w:basedOn w:val="TableNormal"/>
    <w:uiPriority w:val="99"/>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jc w:val="center"/>
      <w:tblBorders>
        <w:top w:val="dashSmallGap" w:sz="12" w:space="0" w:color="215E94"/>
        <w:left w:val="dashSmallGap" w:sz="12" w:space="0" w:color="215E94"/>
        <w:bottom w:val="dashSmallGap" w:sz="12" w:space="0" w:color="215E94"/>
        <w:right w:val="dashSmallGap" w:sz="12" w:space="0" w:color="215E94"/>
      </w:tblBorders>
      <w:tblCellMar>
        <w:left w:w="301" w:type="dxa"/>
        <w:right w:w="301" w:type="dxa"/>
      </w:tblCellMar>
    </w:tblPr>
    <w:trPr>
      <w:jc w:val="center"/>
    </w:trPr>
  </w:style>
  <w:style w:type="paragraph" w:customStyle="1" w:styleId="BoxTitle-Purple">
    <w:name w:val="Box Title - Purple"/>
    <w:basedOn w:val="BoxTitle"/>
    <w:uiPriority w:val="7"/>
    <w:qFormat/>
    <w:rsid w:val="0057062A"/>
    <w:rPr>
      <w:color w:val="7A6DB2"/>
    </w:rPr>
  </w:style>
  <w:style w:type="table" w:customStyle="1" w:styleId="amprtableforinfographic-Greybg">
    <w:name w:val="[ampr] table for infographic - Grey bg"/>
    <w:basedOn w:val="TableNormal"/>
    <w:uiPriority w:val="99"/>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ColBandSize w:val="1"/>
      <w:jc w:val="center"/>
      <w:tblBorders>
        <w:insideH w:val="single" w:sz="12" w:space="0" w:color="FFFFFF"/>
        <w:insideV w:val="single" w:sz="12" w:space="0" w:color="FFFFFF"/>
      </w:tblBorders>
      <w:tblCellMar>
        <w:left w:w="125" w:type="dxa"/>
        <w:right w:w="125" w:type="dxa"/>
      </w:tblCellMar>
    </w:tblPr>
    <w:trPr>
      <w:jc w:val="center"/>
    </w:trPr>
    <w:tcPr>
      <w:shd w:val="clear" w:color="auto" w:fill="F2F2F2"/>
      <w:vAlign w:val="center"/>
    </w:tcPr>
    <w:tblStylePr w:type="band1Vert">
      <w:tblPr/>
      <w:tcPr>
        <w:tcBorders>
          <w:top w:val="nil"/>
          <w:left w:val="single" w:sz="12" w:space="0" w:color="FFFFFF"/>
          <w:bottom w:val="nil"/>
          <w:right w:val="nil"/>
          <w:insideH w:val="single" w:sz="12" w:space="0" w:color="FFFFFF"/>
          <w:insideV w:val="nil"/>
          <w:tl2br w:val="nil"/>
          <w:tr2bl w:val="nil"/>
        </w:tcBorders>
        <w:shd w:val="clear" w:color="auto" w:fill="F2F2F2"/>
      </w:tcPr>
    </w:tblStylePr>
    <w:tblStylePr w:type="band2Vert">
      <w:tblPr/>
      <w:tcPr>
        <w:tcBorders>
          <w:top w:val="nil"/>
          <w:left w:val="nil"/>
          <w:bottom w:val="nil"/>
          <w:right w:val="nil"/>
          <w:insideH w:val="single" w:sz="12" w:space="0" w:color="FFFFFF"/>
          <w:insideV w:val="nil"/>
          <w:tl2br w:val="nil"/>
          <w:tr2bl w:val="nil"/>
        </w:tcBorders>
        <w:shd w:val="clear" w:color="auto" w:fill="F2F2F2"/>
      </w:tcPr>
    </w:tblStylePr>
  </w:style>
  <w:style w:type="table" w:customStyle="1" w:styleId="amprtableforinfographic">
    <w:name w:val="[ampr] table for infographic"/>
    <w:basedOn w:val="TableNormal"/>
    <w:uiPriority w:val="99"/>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ColBandSize w:val="1"/>
      <w:jc w:val="center"/>
      <w:tblCellMar>
        <w:left w:w="125" w:type="dxa"/>
        <w:right w:w="125" w:type="dxa"/>
      </w:tblCellMar>
    </w:tblPr>
    <w:trPr>
      <w:jc w:val="center"/>
    </w:trPr>
    <w:tcPr>
      <w:shd w:val="clear" w:color="auto" w:fill="auto"/>
      <w:vAlign w:val="center"/>
    </w:tcPr>
    <w:tblStylePr w:type="band1Vert">
      <w:tblPr/>
      <w:tcPr>
        <w:tcBorders>
          <w:top w:val="nil"/>
          <w:left w:val="nil"/>
          <w:bottom w:val="nil"/>
          <w:right w:val="nil"/>
          <w:insideH w:val="nil"/>
          <w:insideV w:val="nil"/>
          <w:tl2br w:val="nil"/>
          <w:tr2bl w:val="nil"/>
        </w:tcBorders>
        <w:shd w:val="clear" w:color="auto" w:fill="F2F2F2"/>
      </w:tcPr>
    </w:tblStylePr>
    <w:tblStylePr w:type="band2Vert">
      <w:tblPr/>
      <w:tcPr>
        <w:tcBorders>
          <w:top w:val="nil"/>
          <w:left w:val="nil"/>
          <w:bottom w:val="nil"/>
          <w:right w:val="nil"/>
          <w:insideH w:val="nil"/>
          <w:insideV w:val="nil"/>
          <w:tl2br w:val="nil"/>
          <w:tr2bl w:val="nil"/>
        </w:tcBorders>
        <w:shd w:val="clear" w:color="auto" w:fill="F2F2F2"/>
      </w:tcPr>
    </w:tblStylePr>
  </w:style>
  <w:style w:type="table" w:customStyle="1" w:styleId="Simpletable1">
    <w:name w:val="Simple table1"/>
    <w:basedOn w:val="TableNormal"/>
    <w:next w:val="TableGrid"/>
    <w:uiPriority w:val="39"/>
    <w:rsid w:val="0057062A"/>
    <w:pPr>
      <w:spacing w:before="80" w:after="80" w:line="264" w:lineRule="auto"/>
    </w:pPr>
    <w:rPr>
      <w:rFonts w:ascii="EC Square Sans Pro" w:eastAsia="Calibri" w:hAnsi="EC Square Sans Pro"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Title-Blue">
    <w:name w:val="Box Title - Blue"/>
    <w:basedOn w:val="BoxTitle"/>
    <w:uiPriority w:val="7"/>
    <w:qFormat/>
    <w:rsid w:val="0057062A"/>
    <w:rPr>
      <w:color w:val="215E94"/>
    </w:rPr>
  </w:style>
  <w:style w:type="paragraph" w:customStyle="1" w:styleId="amprboxGREYheading">
    <w:name w:val="[ampr box GREY] heading"/>
    <w:basedOn w:val="amprboxGREYtext"/>
    <w:next w:val="amprboxGREYtext"/>
    <w:uiPriority w:val="7"/>
    <w:qFormat/>
    <w:rsid w:val="0057062A"/>
    <w:pPr>
      <w:keepNext/>
      <w:keepLines/>
    </w:pPr>
    <w:rPr>
      <w:b/>
    </w:rPr>
  </w:style>
  <w:style w:type="paragraph" w:customStyle="1" w:styleId="amprboxGREYbulletlist">
    <w:name w:val="[ampr box GREY] bullet list"/>
    <w:basedOn w:val="amprboxGREYtext"/>
    <w:uiPriority w:val="7"/>
    <w:qFormat/>
    <w:rsid w:val="0057062A"/>
    <w:pPr>
      <w:numPr>
        <w:numId w:val="38"/>
      </w:numPr>
      <w:tabs>
        <w:tab w:val="num" w:pos="1209"/>
      </w:tabs>
      <w:spacing w:before="60" w:after="60"/>
      <w:ind w:left="658" w:hanging="357"/>
    </w:pPr>
  </w:style>
  <w:style w:type="paragraph" w:customStyle="1" w:styleId="amprboxBLUEheading">
    <w:name w:val="[ampr box BLUE] heading"/>
    <w:basedOn w:val="amprboxBLUEtext"/>
    <w:next w:val="amprboxBLUEtext"/>
    <w:uiPriority w:val="7"/>
    <w:qFormat/>
    <w:rsid w:val="0057062A"/>
    <w:pPr>
      <w:keepNext/>
      <w:keepLines/>
    </w:pPr>
    <w:rPr>
      <w:b/>
    </w:rPr>
  </w:style>
  <w:style w:type="numbering" w:styleId="111111">
    <w:name w:val="Outline List 2"/>
    <w:basedOn w:val="NoList"/>
    <w:semiHidden/>
    <w:unhideWhenUsed/>
    <w:rsid w:val="0057062A"/>
    <w:pPr>
      <w:numPr>
        <w:numId w:val="39"/>
      </w:numPr>
    </w:pPr>
  </w:style>
  <w:style w:type="numbering" w:styleId="1ai">
    <w:name w:val="Outline List 1"/>
    <w:basedOn w:val="NoList"/>
    <w:semiHidden/>
    <w:unhideWhenUsed/>
    <w:rsid w:val="0057062A"/>
    <w:pPr>
      <w:numPr>
        <w:numId w:val="40"/>
      </w:numPr>
    </w:pPr>
  </w:style>
  <w:style w:type="character" w:customStyle="1" w:styleId="Heading5Char1">
    <w:name w:val="Heading 5 Char1"/>
    <w:basedOn w:val="DefaultParagraphFont"/>
    <w:link w:val="Heading51"/>
    <w:uiPriority w:val="9"/>
    <w:semiHidden/>
    <w:rsid w:val="0057062A"/>
    <w:rPr>
      <w:rFonts w:ascii="Calibri Light" w:eastAsia="Yu Gothic Light" w:hAnsi="Calibri Light" w:cs="Tunga"/>
      <w:color w:val="01625D"/>
    </w:rPr>
  </w:style>
  <w:style w:type="character" w:customStyle="1" w:styleId="Heading6Char1">
    <w:name w:val="Heading 6 Char1"/>
    <w:basedOn w:val="DefaultParagraphFont"/>
    <w:link w:val="Heading61"/>
    <w:uiPriority w:val="9"/>
    <w:semiHidden/>
    <w:rsid w:val="0057062A"/>
    <w:rPr>
      <w:rFonts w:ascii="Calibri Light" w:eastAsia="Yu Gothic Light" w:hAnsi="Calibri Light" w:cs="Tunga"/>
      <w:color w:val="01413D"/>
    </w:rPr>
  </w:style>
  <w:style w:type="character" w:customStyle="1" w:styleId="Heading7Char1">
    <w:name w:val="Heading 7 Char1"/>
    <w:basedOn w:val="DefaultParagraphFont"/>
    <w:link w:val="Heading71"/>
    <w:uiPriority w:val="9"/>
    <w:semiHidden/>
    <w:rsid w:val="0057062A"/>
    <w:rPr>
      <w:rFonts w:ascii="Calibri Light" w:eastAsia="Yu Gothic Light" w:hAnsi="Calibri Light" w:cs="Tunga"/>
      <w:i/>
      <w:iCs/>
      <w:color w:val="01413D"/>
    </w:rPr>
  </w:style>
  <w:style w:type="character" w:customStyle="1" w:styleId="Heading8Char1">
    <w:name w:val="Heading 8 Char1"/>
    <w:basedOn w:val="DefaultParagraphFont"/>
    <w:link w:val="Heading81"/>
    <w:uiPriority w:val="9"/>
    <w:semiHidden/>
    <w:rsid w:val="0057062A"/>
    <w:rPr>
      <w:rFonts w:ascii="Calibri Light" w:eastAsia="Yu Gothic Light" w:hAnsi="Calibri Light" w:cs="Tunga"/>
      <w:color w:val="272727"/>
      <w:sz w:val="21"/>
      <w:szCs w:val="21"/>
    </w:rPr>
  </w:style>
  <w:style w:type="character" w:customStyle="1" w:styleId="Heading9Char1">
    <w:name w:val="Heading 9 Char1"/>
    <w:basedOn w:val="DefaultParagraphFont"/>
    <w:link w:val="Heading91"/>
    <w:uiPriority w:val="9"/>
    <w:semiHidden/>
    <w:rsid w:val="0057062A"/>
    <w:rPr>
      <w:rFonts w:ascii="Calibri Light" w:eastAsia="Yu Gothic Light" w:hAnsi="Calibri Light" w:cs="Tunga"/>
      <w:i/>
      <w:iCs/>
      <w:color w:val="272727"/>
      <w:sz w:val="21"/>
      <w:szCs w:val="21"/>
    </w:rPr>
  </w:style>
  <w:style w:type="character" w:customStyle="1" w:styleId="Heading5Char2">
    <w:name w:val="Heading 5 Char2"/>
    <w:basedOn w:val="DefaultParagraphFont"/>
    <w:link w:val="Heading5"/>
    <w:uiPriority w:val="9"/>
    <w:semiHidden/>
    <w:rsid w:val="0057062A"/>
    <w:rPr>
      <w:rFonts w:asciiTheme="majorHAnsi" w:eastAsiaTheme="majorEastAsia" w:hAnsiTheme="majorHAnsi" w:cstheme="majorBidi"/>
      <w:color w:val="00602A" w:themeColor="accent1" w:themeShade="BF"/>
    </w:rPr>
  </w:style>
  <w:style w:type="character" w:customStyle="1" w:styleId="Heading6Char2">
    <w:name w:val="Heading 6 Char2"/>
    <w:basedOn w:val="DefaultParagraphFont"/>
    <w:link w:val="Heading6"/>
    <w:uiPriority w:val="9"/>
    <w:semiHidden/>
    <w:rsid w:val="0057062A"/>
    <w:rPr>
      <w:rFonts w:asciiTheme="majorHAnsi" w:eastAsiaTheme="majorEastAsia" w:hAnsiTheme="majorHAnsi" w:cstheme="majorBidi"/>
      <w:color w:val="00401C" w:themeColor="accent1" w:themeShade="7F"/>
    </w:rPr>
  </w:style>
  <w:style w:type="character" w:customStyle="1" w:styleId="Heading7Char2">
    <w:name w:val="Heading 7 Char2"/>
    <w:basedOn w:val="DefaultParagraphFont"/>
    <w:link w:val="Heading7"/>
    <w:uiPriority w:val="9"/>
    <w:semiHidden/>
    <w:rsid w:val="0057062A"/>
    <w:rPr>
      <w:rFonts w:asciiTheme="majorHAnsi" w:eastAsiaTheme="majorEastAsia" w:hAnsiTheme="majorHAnsi" w:cstheme="majorBidi"/>
      <w:i/>
      <w:iCs/>
      <w:color w:val="00401C" w:themeColor="accent1" w:themeShade="7F"/>
    </w:rPr>
  </w:style>
  <w:style w:type="character" w:customStyle="1" w:styleId="Heading8Char2">
    <w:name w:val="Heading 8 Char2"/>
    <w:basedOn w:val="DefaultParagraphFont"/>
    <w:link w:val="Heading8"/>
    <w:uiPriority w:val="9"/>
    <w:semiHidden/>
    <w:rsid w:val="0057062A"/>
    <w:rPr>
      <w:rFonts w:asciiTheme="majorHAnsi" w:eastAsiaTheme="majorEastAsia" w:hAnsiTheme="majorHAnsi" w:cstheme="majorBidi"/>
      <w:color w:val="272727" w:themeColor="text1" w:themeTint="D8"/>
      <w:sz w:val="21"/>
      <w:szCs w:val="21"/>
    </w:rPr>
  </w:style>
  <w:style w:type="character" w:customStyle="1" w:styleId="Heading9Char2">
    <w:name w:val="Heading 9 Char2"/>
    <w:basedOn w:val="DefaultParagraphFont"/>
    <w:link w:val="Heading9"/>
    <w:uiPriority w:val="9"/>
    <w:semiHidden/>
    <w:rsid w:val="0057062A"/>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semiHidden/>
    <w:unhideWhenUsed/>
    <w:rsid w:val="0057062A"/>
    <w:pPr>
      <w:numPr>
        <w:numId w:val="41"/>
      </w:numPr>
    </w:pPr>
  </w:style>
  <w:style w:type="table" w:customStyle="1" w:styleId="ColorfulGrid1">
    <w:name w:val="Colorful Grid1"/>
    <w:basedOn w:val="TableNormal"/>
    <w:next w:val="ColorfulGrid"/>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insideH w:val="single" w:sz="4" w:space="0" w:color="FFFFFF"/>
      </w:tblBorders>
    </w:tblPr>
    <w:tcPr>
      <w:shd w:val="clear" w:color="auto" w:fill="E4E1EF"/>
    </w:tcPr>
    <w:tblStylePr w:type="firstRow">
      <w:rPr>
        <w:b/>
        <w:bCs/>
      </w:rPr>
      <w:tblPr/>
      <w:tcPr>
        <w:shd w:val="clear" w:color="auto" w:fill="C9C4E0"/>
      </w:tcPr>
    </w:tblStylePr>
    <w:tblStylePr w:type="lastRow">
      <w:rPr>
        <w:b/>
        <w:bCs/>
        <w:color w:val="000000"/>
      </w:rPr>
      <w:tblPr/>
      <w:tcPr>
        <w:shd w:val="clear" w:color="auto" w:fill="C9C4E0"/>
      </w:tcPr>
    </w:tblStylePr>
    <w:tblStylePr w:type="firstCol">
      <w:rPr>
        <w:color w:val="FFFFFF"/>
      </w:rPr>
      <w:tblPr/>
      <w:tcPr>
        <w:shd w:val="clear" w:color="auto" w:fill="564A8C"/>
      </w:tcPr>
    </w:tblStylePr>
    <w:tblStylePr w:type="lastCol">
      <w:rPr>
        <w:color w:val="FFFFFF"/>
      </w:rPr>
      <w:tblPr/>
      <w:tcPr>
        <w:shd w:val="clear" w:color="auto" w:fill="564A8C"/>
      </w:tcPr>
    </w:tblStylePr>
    <w:tblStylePr w:type="band1Vert">
      <w:tblPr/>
      <w:tcPr>
        <w:shd w:val="clear" w:color="auto" w:fill="BCB6D8"/>
      </w:tcPr>
    </w:tblStylePr>
    <w:tblStylePr w:type="band1Horz">
      <w:tblPr/>
      <w:tcPr>
        <w:shd w:val="clear" w:color="auto" w:fill="BCB6D8"/>
      </w:tcPr>
    </w:tblStylePr>
  </w:style>
  <w:style w:type="table" w:customStyle="1" w:styleId="ColorfulGrid-Accent21">
    <w:name w:val="Colorful Grid - Accent 21"/>
    <w:basedOn w:val="TableNormal"/>
    <w:next w:val="ColorfulGrid-Accent2"/>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insideH w:val="single" w:sz="4" w:space="0" w:color="FFFFFF"/>
      </w:tblBorders>
    </w:tblPr>
    <w:tcPr>
      <w:shd w:val="clear" w:color="auto" w:fill="C6F6DA"/>
    </w:tcPr>
    <w:tblStylePr w:type="firstRow">
      <w:rPr>
        <w:b/>
        <w:bCs/>
      </w:rPr>
      <w:tblPr/>
      <w:tcPr>
        <w:shd w:val="clear" w:color="auto" w:fill="8EEEB6"/>
      </w:tcPr>
    </w:tblStylePr>
    <w:tblStylePr w:type="lastRow">
      <w:rPr>
        <w:b/>
        <w:bCs/>
        <w:color w:val="000000"/>
      </w:rPr>
      <w:tblPr/>
      <w:tcPr>
        <w:shd w:val="clear" w:color="auto" w:fill="8EEEB6"/>
      </w:tcPr>
    </w:tblStylePr>
    <w:tblStylePr w:type="firstCol">
      <w:rPr>
        <w:color w:val="FFFFFF"/>
      </w:rPr>
      <w:tblPr/>
      <w:tcPr>
        <w:shd w:val="clear" w:color="auto" w:fill="127A3D"/>
      </w:tcPr>
    </w:tblStylePr>
    <w:tblStylePr w:type="lastCol">
      <w:rPr>
        <w:color w:val="FFFFFF"/>
      </w:rPr>
      <w:tblPr/>
      <w:tcPr>
        <w:shd w:val="clear" w:color="auto" w:fill="127A3D"/>
      </w:tcPr>
    </w:tblStylePr>
    <w:tblStylePr w:type="band1Vert">
      <w:tblPr/>
      <w:tcPr>
        <w:shd w:val="clear" w:color="auto" w:fill="72EAA5"/>
      </w:tcPr>
    </w:tblStylePr>
    <w:tblStylePr w:type="band1Horz">
      <w:tblPr/>
      <w:tcPr>
        <w:shd w:val="clear" w:color="auto" w:fill="72EAA5"/>
      </w:tcPr>
    </w:tblStylePr>
  </w:style>
  <w:style w:type="table" w:customStyle="1" w:styleId="ColorfulGrid-Accent31">
    <w:name w:val="Colorful Grid - Accent 31"/>
    <w:basedOn w:val="TableNormal"/>
    <w:next w:val="ColorfulGrid-Accent3"/>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insideH w:val="single" w:sz="4" w:space="0" w:color="FFFFFF"/>
      </w:tblBorders>
    </w:tblPr>
    <w:tcPr>
      <w:shd w:val="clear" w:color="auto" w:fill="FDE0D8"/>
    </w:tcPr>
    <w:tblStylePr w:type="firstRow">
      <w:rPr>
        <w:b/>
        <w:bCs/>
      </w:rPr>
      <w:tblPr/>
      <w:tcPr>
        <w:shd w:val="clear" w:color="auto" w:fill="FBC2B1"/>
      </w:tcPr>
    </w:tblStylePr>
    <w:tblStylePr w:type="lastRow">
      <w:rPr>
        <w:b/>
        <w:bCs/>
        <w:color w:val="000000"/>
      </w:rPr>
      <w:tblPr/>
      <w:tcPr>
        <w:shd w:val="clear" w:color="auto" w:fill="FBC2B1"/>
      </w:tcPr>
    </w:tblStylePr>
    <w:tblStylePr w:type="firstCol">
      <w:rPr>
        <w:color w:val="FFFFFF"/>
      </w:rPr>
      <w:tblPr/>
      <w:tcPr>
        <w:shd w:val="clear" w:color="auto" w:fill="D93B0B"/>
      </w:tcPr>
    </w:tblStylePr>
    <w:tblStylePr w:type="lastCol">
      <w:rPr>
        <w:color w:val="FFFFFF"/>
      </w:rPr>
      <w:tblPr/>
      <w:tcPr>
        <w:shd w:val="clear" w:color="auto" w:fill="D93B0B"/>
      </w:tcPr>
    </w:tblStylePr>
    <w:tblStylePr w:type="band1Vert">
      <w:tblPr/>
      <w:tcPr>
        <w:shd w:val="clear" w:color="auto" w:fill="FAB39E"/>
      </w:tcPr>
    </w:tblStylePr>
    <w:tblStylePr w:type="band1Horz">
      <w:tblPr/>
      <w:tcPr>
        <w:shd w:val="clear" w:color="auto" w:fill="FAB39E"/>
      </w:tcPr>
    </w:tblStylePr>
  </w:style>
  <w:style w:type="table" w:customStyle="1" w:styleId="ColorfulGrid-Accent41">
    <w:name w:val="Colorful Grid - Accent 41"/>
    <w:basedOn w:val="TableNormal"/>
    <w:next w:val="ColorfulGrid-Accent4"/>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insideH w:val="single" w:sz="4" w:space="0" w:color="FFFFFF"/>
      </w:tblBorders>
    </w:tblPr>
    <w:tcPr>
      <w:shd w:val="clear" w:color="auto" w:fill="CEEDFA"/>
    </w:tcPr>
    <w:tblStylePr w:type="firstRow">
      <w:rPr>
        <w:b/>
        <w:bCs/>
      </w:rPr>
      <w:tblPr/>
      <w:tcPr>
        <w:shd w:val="clear" w:color="auto" w:fill="9DDCF6"/>
      </w:tcPr>
    </w:tblStylePr>
    <w:tblStylePr w:type="lastRow">
      <w:rPr>
        <w:b/>
        <w:bCs/>
        <w:color w:val="000000"/>
      </w:rPr>
      <w:tblPr/>
      <w:tcPr>
        <w:shd w:val="clear" w:color="auto" w:fill="9DDCF6"/>
      </w:tcPr>
    </w:tblStylePr>
    <w:tblStylePr w:type="firstCol">
      <w:rPr>
        <w:color w:val="FFFFFF"/>
      </w:rPr>
      <w:tblPr/>
      <w:tcPr>
        <w:shd w:val="clear" w:color="auto" w:fill="0F7BA8"/>
      </w:tcPr>
    </w:tblStylePr>
    <w:tblStylePr w:type="lastCol">
      <w:rPr>
        <w:color w:val="FFFFFF"/>
      </w:rPr>
      <w:tblPr/>
      <w:tcPr>
        <w:shd w:val="clear" w:color="auto" w:fill="0F7BA8"/>
      </w:tcPr>
    </w:tblStylePr>
    <w:tblStylePr w:type="band1Vert">
      <w:tblPr/>
      <w:tcPr>
        <w:shd w:val="clear" w:color="auto" w:fill="85D4F4"/>
      </w:tcPr>
    </w:tblStylePr>
    <w:tblStylePr w:type="band1Horz">
      <w:tblPr/>
      <w:tcPr>
        <w:shd w:val="clear" w:color="auto" w:fill="85D4F4"/>
      </w:tcPr>
    </w:tblStylePr>
  </w:style>
  <w:style w:type="table" w:customStyle="1" w:styleId="ColorfulGrid-Accent51">
    <w:name w:val="Colorful Grid - Accent 51"/>
    <w:basedOn w:val="TableNormal"/>
    <w:next w:val="ColorfulGrid-Accent5"/>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insideH w:val="single" w:sz="4" w:space="0" w:color="FFFFFF"/>
      </w:tblBorders>
    </w:tblPr>
    <w:tcPr>
      <w:shd w:val="clear" w:color="auto" w:fill="C9DFF3"/>
    </w:tcPr>
    <w:tblStylePr w:type="firstRow">
      <w:rPr>
        <w:b/>
        <w:bCs/>
      </w:rPr>
      <w:tblPr/>
      <w:tcPr>
        <w:shd w:val="clear" w:color="auto" w:fill="93BFE7"/>
      </w:tcPr>
    </w:tblStylePr>
    <w:tblStylePr w:type="lastRow">
      <w:rPr>
        <w:b/>
        <w:bCs/>
        <w:color w:val="000000"/>
      </w:rPr>
      <w:tblPr/>
      <w:tcPr>
        <w:shd w:val="clear" w:color="auto" w:fill="93BFE7"/>
      </w:tcPr>
    </w:tblStylePr>
    <w:tblStylePr w:type="firstCol">
      <w:rPr>
        <w:color w:val="FFFFFF"/>
      </w:rPr>
      <w:tblPr/>
      <w:tcPr>
        <w:shd w:val="clear" w:color="auto" w:fill="18466E"/>
      </w:tcPr>
    </w:tblStylePr>
    <w:tblStylePr w:type="lastCol">
      <w:rPr>
        <w:color w:val="FFFFFF"/>
      </w:rPr>
      <w:tblPr/>
      <w:tcPr>
        <w:shd w:val="clear" w:color="auto" w:fill="18466E"/>
      </w:tcPr>
    </w:tblStylePr>
    <w:tblStylePr w:type="band1Vert">
      <w:tblPr/>
      <w:tcPr>
        <w:shd w:val="clear" w:color="auto" w:fill="78B0E1"/>
      </w:tcPr>
    </w:tblStylePr>
    <w:tblStylePr w:type="band1Horz">
      <w:tblPr/>
      <w:tcPr>
        <w:shd w:val="clear" w:color="auto" w:fill="78B0E1"/>
      </w:tcPr>
    </w:tblStylePr>
  </w:style>
  <w:style w:type="table" w:customStyle="1" w:styleId="ColorfulGrid-Accent61">
    <w:name w:val="Colorful Grid - Accent 61"/>
    <w:basedOn w:val="TableNormal"/>
    <w:next w:val="ColorfulGrid-Accent6"/>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insideH w:val="single" w:sz="4" w:space="0" w:color="FFFFFF"/>
      </w:tblBorders>
    </w:tblPr>
    <w:tcPr>
      <w:shd w:val="clear" w:color="auto" w:fill="FFF5D9"/>
    </w:tcPr>
    <w:tblStylePr w:type="firstRow">
      <w:rPr>
        <w:b/>
        <w:bCs/>
      </w:rPr>
      <w:tblPr/>
      <w:tcPr>
        <w:shd w:val="clear" w:color="auto" w:fill="FFEBB3"/>
      </w:tcPr>
    </w:tblStylePr>
    <w:tblStylePr w:type="lastRow">
      <w:rPr>
        <w:b/>
        <w:bCs/>
        <w:color w:val="000000"/>
      </w:rPr>
      <w:tblPr/>
      <w:tcPr>
        <w:shd w:val="clear" w:color="auto" w:fill="FFEBB3"/>
      </w:tcPr>
    </w:tblStylePr>
    <w:tblStylePr w:type="firstCol">
      <w:rPr>
        <w:color w:val="FFFFFF"/>
      </w:rPr>
      <w:tblPr/>
      <w:tcPr>
        <w:shd w:val="clear" w:color="auto" w:fill="F1B100"/>
      </w:tcPr>
    </w:tblStylePr>
    <w:tblStylePr w:type="lastCol">
      <w:rPr>
        <w:color w:val="FFFFFF"/>
      </w:rPr>
      <w:tblPr/>
      <w:tcPr>
        <w:shd w:val="clear" w:color="auto" w:fill="F1B100"/>
      </w:tcPr>
    </w:tblStylePr>
    <w:tblStylePr w:type="band1Vert">
      <w:tblPr/>
      <w:tcPr>
        <w:shd w:val="clear" w:color="auto" w:fill="FFE6A1"/>
      </w:tcPr>
    </w:tblStylePr>
    <w:tblStylePr w:type="band1Horz">
      <w:tblPr/>
      <w:tcPr>
        <w:shd w:val="clear" w:color="auto" w:fill="FFE6A1"/>
      </w:tcPr>
    </w:tblStylePr>
  </w:style>
  <w:style w:type="table" w:customStyle="1" w:styleId="ColorfulList1">
    <w:name w:val="Colorful List1"/>
    <w:basedOn w:val="TableNormal"/>
    <w:next w:val="ColorfulList"/>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138342"/>
      </w:tcPr>
    </w:tblStylePr>
    <w:tblStylePr w:type="lastRow">
      <w:rPr>
        <w:b/>
        <w:bCs/>
        <w:color w:val="13834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Pr>
    <w:tcPr>
      <w:shd w:val="clear" w:color="auto" w:fill="F1F0F7"/>
    </w:tcPr>
    <w:tblStylePr w:type="firstRow">
      <w:rPr>
        <w:b/>
        <w:bCs/>
        <w:color w:val="FFFFFF"/>
      </w:rPr>
      <w:tblPr/>
      <w:tcPr>
        <w:tcBorders>
          <w:bottom w:val="single" w:sz="12" w:space="0" w:color="FFFFFF"/>
        </w:tcBorders>
        <w:shd w:val="clear" w:color="auto" w:fill="138342"/>
      </w:tcPr>
    </w:tblStylePr>
    <w:tblStylePr w:type="lastRow">
      <w:rPr>
        <w:b/>
        <w:bCs/>
        <w:color w:val="13834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EC"/>
      </w:tcPr>
    </w:tblStylePr>
    <w:tblStylePr w:type="band1Horz">
      <w:tblPr/>
      <w:tcPr>
        <w:shd w:val="clear" w:color="auto" w:fill="E4E1EF"/>
      </w:tcPr>
    </w:tblStylePr>
  </w:style>
  <w:style w:type="table" w:customStyle="1" w:styleId="ColorfulList-Accent21">
    <w:name w:val="Colorful List - Accent 21"/>
    <w:basedOn w:val="TableNormal"/>
    <w:next w:val="ColorfulList-Accent2"/>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Pr>
    <w:tcPr>
      <w:shd w:val="clear" w:color="auto" w:fill="E3FBED"/>
    </w:tcPr>
    <w:tblStylePr w:type="firstRow">
      <w:rPr>
        <w:b/>
        <w:bCs/>
        <w:color w:val="FFFFFF"/>
      </w:rPr>
      <w:tblPr/>
      <w:tcPr>
        <w:tcBorders>
          <w:bottom w:val="single" w:sz="12" w:space="0" w:color="FFFFFF"/>
        </w:tcBorders>
        <w:shd w:val="clear" w:color="auto" w:fill="138342"/>
      </w:tcPr>
    </w:tblStylePr>
    <w:tblStylePr w:type="lastRow">
      <w:rPr>
        <w:b/>
        <w:bCs/>
        <w:color w:val="13834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4D2"/>
      </w:tcPr>
    </w:tblStylePr>
    <w:tblStylePr w:type="band1Horz">
      <w:tblPr/>
      <w:tcPr>
        <w:shd w:val="clear" w:color="auto" w:fill="C6F6DA"/>
      </w:tcPr>
    </w:tblStylePr>
  </w:style>
  <w:style w:type="table" w:customStyle="1" w:styleId="ColorfulList-Accent31">
    <w:name w:val="Colorful List - Accent 31"/>
    <w:basedOn w:val="TableNormal"/>
    <w:next w:val="ColorfulList-Accent3"/>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Pr>
    <w:tcPr>
      <w:shd w:val="clear" w:color="auto" w:fill="FEF0EB"/>
    </w:tcPr>
    <w:tblStylePr w:type="firstRow">
      <w:rPr>
        <w:b/>
        <w:bCs/>
        <w:color w:val="FFFFFF"/>
      </w:rPr>
      <w:tblPr/>
      <w:tcPr>
        <w:tcBorders>
          <w:bottom w:val="single" w:sz="12" w:space="0" w:color="FFFFFF"/>
        </w:tcBorders>
        <w:shd w:val="clear" w:color="auto" w:fill="1084B3"/>
      </w:tcPr>
    </w:tblStylePr>
    <w:tblStylePr w:type="lastRow">
      <w:rPr>
        <w:b/>
        <w:bCs/>
        <w:color w:val="1084B3"/>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9CE"/>
      </w:tcPr>
    </w:tblStylePr>
    <w:tblStylePr w:type="band1Horz">
      <w:tblPr/>
      <w:tcPr>
        <w:shd w:val="clear" w:color="auto" w:fill="FDE0D8"/>
      </w:tcPr>
    </w:tblStylePr>
  </w:style>
  <w:style w:type="table" w:customStyle="1" w:styleId="ColorfulList-Accent41">
    <w:name w:val="Colorful List - Accent 41"/>
    <w:basedOn w:val="TableNormal"/>
    <w:next w:val="ColorfulList-Accent4"/>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Pr>
    <w:tcPr>
      <w:shd w:val="clear" w:color="auto" w:fill="E7F6FD"/>
    </w:tcPr>
    <w:tblStylePr w:type="firstRow">
      <w:rPr>
        <w:b/>
        <w:bCs/>
        <w:color w:val="FFFFFF"/>
      </w:rPr>
      <w:tblPr/>
      <w:tcPr>
        <w:tcBorders>
          <w:bottom w:val="single" w:sz="12" w:space="0" w:color="FFFFFF"/>
        </w:tcBorders>
        <w:shd w:val="clear" w:color="auto" w:fill="E83F0C"/>
      </w:tcPr>
    </w:tblStylePr>
    <w:tblStylePr w:type="lastRow">
      <w:rPr>
        <w:b/>
        <w:bCs/>
        <w:color w:val="E83F0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E9F9"/>
      </w:tcPr>
    </w:tblStylePr>
    <w:tblStylePr w:type="band1Horz">
      <w:tblPr/>
      <w:tcPr>
        <w:shd w:val="clear" w:color="auto" w:fill="CEEDFA"/>
      </w:tcPr>
    </w:tblStylePr>
  </w:style>
  <w:style w:type="table" w:customStyle="1" w:styleId="ColorfulList-Accent51">
    <w:name w:val="Colorful List - Accent 51"/>
    <w:basedOn w:val="TableNormal"/>
    <w:next w:val="ColorfulList-Accent5"/>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Pr>
    <w:tcPr>
      <w:shd w:val="clear" w:color="auto" w:fill="E4EFF9"/>
    </w:tcPr>
    <w:tblStylePr w:type="firstRow">
      <w:rPr>
        <w:b/>
        <w:bCs/>
        <w:color w:val="FFFFFF"/>
      </w:rPr>
      <w:tblPr/>
      <w:tcPr>
        <w:tcBorders>
          <w:bottom w:val="single" w:sz="12" w:space="0" w:color="FFFFFF"/>
        </w:tcBorders>
        <w:shd w:val="clear" w:color="auto" w:fill="FFBC02"/>
      </w:tcPr>
    </w:tblStylePr>
    <w:tblStylePr w:type="lastRow">
      <w:rPr>
        <w:b/>
        <w:bCs/>
        <w:color w:val="FFBC0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D7F0"/>
      </w:tcPr>
    </w:tblStylePr>
    <w:tblStylePr w:type="band1Horz">
      <w:tblPr/>
      <w:tcPr>
        <w:shd w:val="clear" w:color="auto" w:fill="C9DFF3"/>
      </w:tcPr>
    </w:tblStylePr>
  </w:style>
  <w:style w:type="table" w:customStyle="1" w:styleId="ColorfulList-Accent61">
    <w:name w:val="Colorful List - Accent 61"/>
    <w:basedOn w:val="TableNormal"/>
    <w:next w:val="ColorfulList-Accent6"/>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Pr>
    <w:tcPr>
      <w:shd w:val="clear" w:color="auto" w:fill="FFFAEC"/>
    </w:tcPr>
    <w:tblStylePr w:type="firstRow">
      <w:rPr>
        <w:b/>
        <w:bCs/>
        <w:color w:val="FFFFFF"/>
      </w:rPr>
      <w:tblPr/>
      <w:tcPr>
        <w:tcBorders>
          <w:bottom w:val="single" w:sz="12" w:space="0" w:color="FFFFFF"/>
        </w:tcBorders>
        <w:shd w:val="clear" w:color="auto" w:fill="1A4B76"/>
      </w:tcPr>
    </w:tblStylePr>
    <w:tblStylePr w:type="lastRow">
      <w:rPr>
        <w:b/>
        <w:bCs/>
        <w:color w:val="1A4B7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D0"/>
      </w:tcPr>
    </w:tblStylePr>
    <w:tblStylePr w:type="band1Horz">
      <w:tblPr/>
      <w:tcPr>
        <w:shd w:val="clear" w:color="auto" w:fill="FFF5D9"/>
      </w:tcPr>
    </w:tblStylePr>
  </w:style>
  <w:style w:type="table" w:customStyle="1" w:styleId="ColorfulShading1">
    <w:name w:val="Colorful Shading1"/>
    <w:basedOn w:val="TableNormal"/>
    <w:next w:val="ColorfulShading"/>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24" w:space="0" w:color="18A453"/>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18A45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24" w:space="0" w:color="18A453"/>
        <w:left w:val="single" w:sz="4" w:space="0" w:color="7A6DB2"/>
        <w:bottom w:val="single" w:sz="4" w:space="0" w:color="7A6DB2"/>
        <w:right w:val="single" w:sz="4" w:space="0" w:color="7A6DB2"/>
        <w:insideH w:val="single" w:sz="4" w:space="0" w:color="FFFFFF"/>
        <w:insideV w:val="single" w:sz="4" w:space="0" w:color="FFFFFF"/>
      </w:tblBorders>
    </w:tblPr>
    <w:tcPr>
      <w:shd w:val="clear" w:color="auto" w:fill="F1F0F7"/>
    </w:tcPr>
    <w:tblStylePr w:type="firstRow">
      <w:rPr>
        <w:b/>
        <w:bCs/>
      </w:rPr>
      <w:tblPr/>
      <w:tcPr>
        <w:tcBorders>
          <w:top w:val="nil"/>
          <w:left w:val="nil"/>
          <w:bottom w:val="single" w:sz="24" w:space="0" w:color="18A45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53B70"/>
      </w:tcPr>
    </w:tblStylePr>
    <w:tblStylePr w:type="firstCol">
      <w:rPr>
        <w:color w:val="FFFFFF"/>
      </w:rPr>
      <w:tblPr/>
      <w:tcPr>
        <w:tcBorders>
          <w:top w:val="nil"/>
          <w:left w:val="nil"/>
          <w:bottom w:val="nil"/>
          <w:right w:val="nil"/>
          <w:insideH w:val="single" w:sz="4" w:space="0" w:color="453B70"/>
          <w:insideV w:val="nil"/>
        </w:tcBorders>
        <w:shd w:val="clear" w:color="auto" w:fill="453B70"/>
      </w:tcPr>
    </w:tblStylePr>
    <w:tblStylePr w:type="lastCol">
      <w:rPr>
        <w:color w:val="FFFFFF"/>
      </w:rPr>
      <w:tblPr/>
      <w:tcPr>
        <w:tcBorders>
          <w:top w:val="nil"/>
          <w:left w:val="nil"/>
          <w:bottom w:val="nil"/>
          <w:right w:val="nil"/>
          <w:insideH w:val="nil"/>
          <w:insideV w:val="nil"/>
        </w:tcBorders>
        <w:shd w:val="clear" w:color="auto" w:fill="453B70"/>
      </w:tcPr>
    </w:tblStylePr>
    <w:tblStylePr w:type="band1Vert">
      <w:tblPr/>
      <w:tcPr>
        <w:shd w:val="clear" w:color="auto" w:fill="C9C4E0"/>
      </w:tcPr>
    </w:tblStylePr>
    <w:tblStylePr w:type="band1Horz">
      <w:tblPr/>
      <w:tcPr>
        <w:shd w:val="clear" w:color="auto" w:fill="BCB6D8"/>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24" w:space="0" w:color="18A453"/>
        <w:left w:val="single" w:sz="4" w:space="0" w:color="18A453"/>
        <w:bottom w:val="single" w:sz="4" w:space="0" w:color="18A453"/>
        <w:right w:val="single" w:sz="4" w:space="0" w:color="18A453"/>
        <w:insideH w:val="single" w:sz="4" w:space="0" w:color="FFFFFF"/>
        <w:insideV w:val="single" w:sz="4" w:space="0" w:color="FFFFFF"/>
      </w:tblBorders>
    </w:tblPr>
    <w:tcPr>
      <w:shd w:val="clear" w:color="auto" w:fill="E3FBED"/>
    </w:tcPr>
    <w:tblStylePr w:type="firstRow">
      <w:rPr>
        <w:b/>
        <w:bCs/>
      </w:rPr>
      <w:tblPr/>
      <w:tcPr>
        <w:tcBorders>
          <w:top w:val="nil"/>
          <w:left w:val="nil"/>
          <w:bottom w:val="single" w:sz="24" w:space="0" w:color="18A45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E6231"/>
      </w:tcPr>
    </w:tblStylePr>
    <w:tblStylePr w:type="firstCol">
      <w:rPr>
        <w:color w:val="FFFFFF"/>
      </w:rPr>
      <w:tblPr/>
      <w:tcPr>
        <w:tcBorders>
          <w:top w:val="nil"/>
          <w:left w:val="nil"/>
          <w:bottom w:val="nil"/>
          <w:right w:val="nil"/>
          <w:insideH w:val="single" w:sz="4" w:space="0" w:color="0E6231"/>
          <w:insideV w:val="nil"/>
        </w:tcBorders>
        <w:shd w:val="clear" w:color="auto" w:fill="0E6231"/>
      </w:tcPr>
    </w:tblStylePr>
    <w:tblStylePr w:type="lastCol">
      <w:rPr>
        <w:color w:val="FFFFFF"/>
      </w:rPr>
      <w:tblPr/>
      <w:tcPr>
        <w:tcBorders>
          <w:top w:val="nil"/>
          <w:left w:val="nil"/>
          <w:bottom w:val="nil"/>
          <w:right w:val="nil"/>
          <w:insideH w:val="nil"/>
          <w:insideV w:val="nil"/>
        </w:tcBorders>
        <w:shd w:val="clear" w:color="auto" w:fill="0E6231"/>
      </w:tcPr>
    </w:tblStylePr>
    <w:tblStylePr w:type="band1Vert">
      <w:tblPr/>
      <w:tcPr>
        <w:shd w:val="clear" w:color="auto" w:fill="8EEEB6"/>
      </w:tcPr>
    </w:tblStylePr>
    <w:tblStylePr w:type="band1Horz">
      <w:tblPr/>
      <w:tcPr>
        <w:shd w:val="clear" w:color="auto" w:fill="72EAA5"/>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24" w:space="0" w:color="14A6E1"/>
        <w:left w:val="single" w:sz="4" w:space="0" w:color="F5693D"/>
        <w:bottom w:val="single" w:sz="4" w:space="0" w:color="F5693D"/>
        <w:right w:val="single" w:sz="4" w:space="0" w:color="F5693D"/>
        <w:insideH w:val="single" w:sz="4" w:space="0" w:color="FFFFFF"/>
        <w:insideV w:val="single" w:sz="4" w:space="0" w:color="FFFFFF"/>
      </w:tblBorders>
    </w:tblPr>
    <w:tcPr>
      <w:shd w:val="clear" w:color="auto" w:fill="FEF0EB"/>
    </w:tcPr>
    <w:tblStylePr w:type="firstRow">
      <w:rPr>
        <w:b/>
        <w:bCs/>
      </w:rPr>
      <w:tblPr/>
      <w:tcPr>
        <w:tcBorders>
          <w:top w:val="nil"/>
          <w:left w:val="nil"/>
          <w:bottom w:val="single" w:sz="24" w:space="0" w:color="14A6E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AE2F09"/>
      </w:tcPr>
    </w:tblStylePr>
    <w:tblStylePr w:type="firstCol">
      <w:rPr>
        <w:color w:val="FFFFFF"/>
      </w:rPr>
      <w:tblPr/>
      <w:tcPr>
        <w:tcBorders>
          <w:top w:val="nil"/>
          <w:left w:val="nil"/>
          <w:bottom w:val="nil"/>
          <w:right w:val="nil"/>
          <w:insideH w:val="single" w:sz="4" w:space="0" w:color="AE2F09"/>
          <w:insideV w:val="nil"/>
        </w:tcBorders>
        <w:shd w:val="clear" w:color="auto" w:fill="AE2F09"/>
      </w:tcPr>
    </w:tblStylePr>
    <w:tblStylePr w:type="lastCol">
      <w:rPr>
        <w:color w:val="FFFFFF"/>
      </w:rPr>
      <w:tblPr/>
      <w:tcPr>
        <w:tcBorders>
          <w:top w:val="nil"/>
          <w:left w:val="nil"/>
          <w:bottom w:val="nil"/>
          <w:right w:val="nil"/>
          <w:insideH w:val="nil"/>
          <w:insideV w:val="nil"/>
        </w:tcBorders>
        <w:shd w:val="clear" w:color="auto" w:fill="AE2F09"/>
      </w:tcPr>
    </w:tblStylePr>
    <w:tblStylePr w:type="band1Vert">
      <w:tblPr/>
      <w:tcPr>
        <w:shd w:val="clear" w:color="auto" w:fill="FBC2B1"/>
      </w:tcPr>
    </w:tblStylePr>
    <w:tblStylePr w:type="band1Horz">
      <w:tblPr/>
      <w:tcPr>
        <w:shd w:val="clear" w:color="auto" w:fill="FAB39E"/>
      </w:tcPr>
    </w:tblStylePr>
  </w:style>
  <w:style w:type="table" w:customStyle="1" w:styleId="ColorfulShading-Accent41">
    <w:name w:val="Colorful Shading - Accent 41"/>
    <w:basedOn w:val="TableNormal"/>
    <w:next w:val="ColorfulShading-Accent4"/>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24" w:space="0" w:color="F5693D"/>
        <w:left w:val="single" w:sz="4" w:space="0" w:color="14A6E1"/>
        <w:bottom w:val="single" w:sz="4" w:space="0" w:color="14A6E1"/>
        <w:right w:val="single" w:sz="4" w:space="0" w:color="14A6E1"/>
        <w:insideH w:val="single" w:sz="4" w:space="0" w:color="FFFFFF"/>
        <w:insideV w:val="single" w:sz="4" w:space="0" w:color="FFFFFF"/>
      </w:tblBorders>
    </w:tblPr>
    <w:tcPr>
      <w:shd w:val="clear" w:color="auto" w:fill="E7F6FD"/>
    </w:tcPr>
    <w:tblStylePr w:type="firstRow">
      <w:rPr>
        <w:b/>
        <w:bCs/>
      </w:rPr>
      <w:tblPr/>
      <w:tcPr>
        <w:tcBorders>
          <w:top w:val="nil"/>
          <w:left w:val="nil"/>
          <w:bottom w:val="single" w:sz="24" w:space="0" w:color="F5693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6386"/>
      </w:tcPr>
    </w:tblStylePr>
    <w:tblStylePr w:type="firstCol">
      <w:rPr>
        <w:color w:val="FFFFFF"/>
      </w:rPr>
      <w:tblPr/>
      <w:tcPr>
        <w:tcBorders>
          <w:top w:val="nil"/>
          <w:left w:val="nil"/>
          <w:bottom w:val="nil"/>
          <w:right w:val="nil"/>
          <w:insideH w:val="single" w:sz="4" w:space="0" w:color="0C6386"/>
          <w:insideV w:val="nil"/>
        </w:tcBorders>
        <w:shd w:val="clear" w:color="auto" w:fill="0C6386"/>
      </w:tcPr>
    </w:tblStylePr>
    <w:tblStylePr w:type="lastCol">
      <w:rPr>
        <w:color w:val="FFFFFF"/>
      </w:rPr>
      <w:tblPr/>
      <w:tcPr>
        <w:tcBorders>
          <w:top w:val="nil"/>
          <w:left w:val="nil"/>
          <w:bottom w:val="nil"/>
          <w:right w:val="nil"/>
          <w:insideH w:val="nil"/>
          <w:insideV w:val="nil"/>
        </w:tcBorders>
        <w:shd w:val="clear" w:color="auto" w:fill="0C6386"/>
      </w:tcPr>
    </w:tblStylePr>
    <w:tblStylePr w:type="band1Vert">
      <w:tblPr/>
      <w:tcPr>
        <w:shd w:val="clear" w:color="auto" w:fill="9DDCF6"/>
      </w:tcPr>
    </w:tblStylePr>
    <w:tblStylePr w:type="band1Horz">
      <w:tblPr/>
      <w:tcPr>
        <w:shd w:val="clear" w:color="auto" w:fill="85D4F4"/>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24" w:space="0" w:color="FFCE43"/>
        <w:left w:val="single" w:sz="4" w:space="0" w:color="215E94"/>
        <w:bottom w:val="single" w:sz="4" w:space="0" w:color="215E94"/>
        <w:right w:val="single" w:sz="4" w:space="0" w:color="215E94"/>
        <w:insideH w:val="single" w:sz="4" w:space="0" w:color="FFFFFF"/>
        <w:insideV w:val="single" w:sz="4" w:space="0" w:color="FFFFFF"/>
      </w:tblBorders>
    </w:tblPr>
    <w:tcPr>
      <w:shd w:val="clear" w:color="auto" w:fill="E4EFF9"/>
    </w:tcPr>
    <w:tblStylePr w:type="firstRow">
      <w:rPr>
        <w:b/>
        <w:bCs/>
      </w:rPr>
      <w:tblPr/>
      <w:tcPr>
        <w:tcBorders>
          <w:top w:val="nil"/>
          <w:left w:val="nil"/>
          <w:bottom w:val="single" w:sz="24" w:space="0" w:color="FFCE4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33858"/>
      </w:tcPr>
    </w:tblStylePr>
    <w:tblStylePr w:type="firstCol">
      <w:rPr>
        <w:color w:val="FFFFFF"/>
      </w:rPr>
      <w:tblPr/>
      <w:tcPr>
        <w:tcBorders>
          <w:top w:val="nil"/>
          <w:left w:val="nil"/>
          <w:bottom w:val="nil"/>
          <w:right w:val="nil"/>
          <w:insideH w:val="single" w:sz="4" w:space="0" w:color="133858"/>
          <w:insideV w:val="nil"/>
        </w:tcBorders>
        <w:shd w:val="clear" w:color="auto" w:fill="133858"/>
      </w:tcPr>
    </w:tblStylePr>
    <w:tblStylePr w:type="lastCol">
      <w:rPr>
        <w:color w:val="FFFFFF"/>
      </w:rPr>
      <w:tblPr/>
      <w:tcPr>
        <w:tcBorders>
          <w:top w:val="nil"/>
          <w:left w:val="nil"/>
          <w:bottom w:val="nil"/>
          <w:right w:val="nil"/>
          <w:insideH w:val="nil"/>
          <w:insideV w:val="nil"/>
        </w:tcBorders>
        <w:shd w:val="clear" w:color="auto" w:fill="133858"/>
      </w:tcPr>
    </w:tblStylePr>
    <w:tblStylePr w:type="band1Vert">
      <w:tblPr/>
      <w:tcPr>
        <w:shd w:val="clear" w:color="auto" w:fill="93BFE7"/>
      </w:tcPr>
    </w:tblStylePr>
    <w:tblStylePr w:type="band1Horz">
      <w:tblPr/>
      <w:tcPr>
        <w:shd w:val="clear" w:color="auto" w:fill="78B0E1"/>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24" w:space="0" w:color="215E94"/>
        <w:left w:val="single" w:sz="4" w:space="0" w:color="FFCE43"/>
        <w:bottom w:val="single" w:sz="4" w:space="0" w:color="FFCE43"/>
        <w:right w:val="single" w:sz="4" w:space="0" w:color="FFCE43"/>
        <w:insideH w:val="single" w:sz="4" w:space="0" w:color="FFFFFF"/>
        <w:insideV w:val="single" w:sz="4" w:space="0" w:color="FFFFFF"/>
      </w:tblBorders>
    </w:tblPr>
    <w:tcPr>
      <w:shd w:val="clear" w:color="auto" w:fill="FFFAEC"/>
    </w:tcPr>
    <w:tblStylePr w:type="firstRow">
      <w:rPr>
        <w:b/>
        <w:bCs/>
      </w:rPr>
      <w:tblPr/>
      <w:tcPr>
        <w:tcBorders>
          <w:top w:val="nil"/>
          <w:left w:val="nil"/>
          <w:bottom w:val="single" w:sz="24" w:space="0" w:color="215E9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C18E00"/>
      </w:tcPr>
    </w:tblStylePr>
    <w:tblStylePr w:type="firstCol">
      <w:rPr>
        <w:color w:val="FFFFFF"/>
      </w:rPr>
      <w:tblPr/>
      <w:tcPr>
        <w:tcBorders>
          <w:top w:val="nil"/>
          <w:left w:val="nil"/>
          <w:bottom w:val="nil"/>
          <w:right w:val="nil"/>
          <w:insideH w:val="single" w:sz="4" w:space="0" w:color="C18E00"/>
          <w:insideV w:val="nil"/>
        </w:tcBorders>
        <w:shd w:val="clear" w:color="auto" w:fill="C18E00"/>
      </w:tcPr>
    </w:tblStylePr>
    <w:tblStylePr w:type="lastCol">
      <w:rPr>
        <w:color w:val="FFFFFF"/>
      </w:rPr>
      <w:tblPr/>
      <w:tcPr>
        <w:tcBorders>
          <w:top w:val="nil"/>
          <w:left w:val="nil"/>
          <w:bottom w:val="nil"/>
          <w:right w:val="nil"/>
          <w:insideH w:val="nil"/>
          <w:insideV w:val="nil"/>
        </w:tcBorders>
        <w:shd w:val="clear" w:color="auto" w:fill="C18E00"/>
      </w:tcPr>
    </w:tblStylePr>
    <w:tblStylePr w:type="band1Vert">
      <w:tblPr/>
      <w:tcPr>
        <w:shd w:val="clear" w:color="auto" w:fill="FFEBB3"/>
      </w:tcPr>
    </w:tblStylePr>
    <w:tblStylePr w:type="band1Horz">
      <w:tblPr/>
      <w:tcPr>
        <w:shd w:val="clear" w:color="auto" w:fill="FFE6A1"/>
      </w:tcPr>
    </w:tblStylePr>
    <w:tblStylePr w:type="neCell">
      <w:rPr>
        <w:color w:val="000000"/>
      </w:rPr>
    </w:tblStylePr>
    <w:tblStylePr w:type="nwCell">
      <w:rPr>
        <w:color w:val="000000"/>
      </w:rPr>
    </w:tblStylePr>
  </w:style>
  <w:style w:type="table" w:customStyle="1" w:styleId="DarkList1">
    <w:name w:val="Dark List1"/>
    <w:basedOn w:val="TableNormal"/>
    <w:next w:val="DarkList"/>
    <w:semiHidden/>
    <w:unhideWhenUsed/>
    <w:rsid w:val="0057062A"/>
    <w:pPr>
      <w:spacing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semiHidden/>
    <w:unhideWhenUsed/>
    <w:rsid w:val="0057062A"/>
    <w:pPr>
      <w:spacing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Pr>
    <w:tcPr>
      <w:shd w:val="clear" w:color="auto" w:fill="7A6DB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9315D"/>
      </w:tcPr>
    </w:tblStylePr>
    <w:tblStylePr w:type="firstCol">
      <w:tblPr/>
      <w:tcPr>
        <w:tcBorders>
          <w:top w:val="nil"/>
          <w:left w:val="nil"/>
          <w:bottom w:val="nil"/>
          <w:right w:val="single" w:sz="18" w:space="0" w:color="FFFFFF"/>
          <w:insideH w:val="nil"/>
          <w:insideV w:val="nil"/>
        </w:tcBorders>
        <w:shd w:val="clear" w:color="auto" w:fill="564A8C"/>
      </w:tcPr>
    </w:tblStylePr>
    <w:tblStylePr w:type="lastCol">
      <w:tblPr/>
      <w:tcPr>
        <w:tcBorders>
          <w:top w:val="nil"/>
          <w:left w:val="single" w:sz="18" w:space="0" w:color="FFFFFF"/>
          <w:bottom w:val="nil"/>
          <w:right w:val="nil"/>
          <w:insideH w:val="nil"/>
          <w:insideV w:val="nil"/>
        </w:tcBorders>
        <w:shd w:val="clear" w:color="auto" w:fill="564A8C"/>
      </w:tcPr>
    </w:tblStylePr>
    <w:tblStylePr w:type="band1Vert">
      <w:tblPr/>
      <w:tcPr>
        <w:tcBorders>
          <w:top w:val="nil"/>
          <w:left w:val="nil"/>
          <w:bottom w:val="nil"/>
          <w:right w:val="nil"/>
          <w:insideH w:val="nil"/>
          <w:insideV w:val="nil"/>
        </w:tcBorders>
        <w:shd w:val="clear" w:color="auto" w:fill="564A8C"/>
      </w:tcPr>
    </w:tblStylePr>
    <w:tblStylePr w:type="band1Horz">
      <w:tblPr/>
      <w:tcPr>
        <w:tcBorders>
          <w:top w:val="nil"/>
          <w:left w:val="nil"/>
          <w:bottom w:val="nil"/>
          <w:right w:val="nil"/>
          <w:insideH w:val="nil"/>
          <w:insideV w:val="nil"/>
        </w:tcBorders>
        <w:shd w:val="clear" w:color="auto" w:fill="564A8C"/>
      </w:tcPr>
    </w:tblStylePr>
  </w:style>
  <w:style w:type="table" w:customStyle="1" w:styleId="DarkList-Accent21">
    <w:name w:val="Dark List - Accent 21"/>
    <w:basedOn w:val="TableNormal"/>
    <w:next w:val="DarkList-Accent2"/>
    <w:semiHidden/>
    <w:unhideWhenUsed/>
    <w:rsid w:val="0057062A"/>
    <w:pPr>
      <w:spacing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Pr>
    <w:tcPr>
      <w:shd w:val="clear" w:color="auto" w:fill="18A45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C5129"/>
      </w:tcPr>
    </w:tblStylePr>
    <w:tblStylePr w:type="firstCol">
      <w:tblPr/>
      <w:tcPr>
        <w:tcBorders>
          <w:top w:val="nil"/>
          <w:left w:val="nil"/>
          <w:bottom w:val="nil"/>
          <w:right w:val="single" w:sz="18" w:space="0" w:color="FFFFFF"/>
          <w:insideH w:val="nil"/>
          <w:insideV w:val="nil"/>
        </w:tcBorders>
        <w:shd w:val="clear" w:color="auto" w:fill="127A3D"/>
      </w:tcPr>
    </w:tblStylePr>
    <w:tblStylePr w:type="lastCol">
      <w:tblPr/>
      <w:tcPr>
        <w:tcBorders>
          <w:top w:val="nil"/>
          <w:left w:val="single" w:sz="18" w:space="0" w:color="FFFFFF"/>
          <w:bottom w:val="nil"/>
          <w:right w:val="nil"/>
          <w:insideH w:val="nil"/>
          <w:insideV w:val="nil"/>
        </w:tcBorders>
        <w:shd w:val="clear" w:color="auto" w:fill="127A3D"/>
      </w:tcPr>
    </w:tblStylePr>
    <w:tblStylePr w:type="band1Vert">
      <w:tblPr/>
      <w:tcPr>
        <w:tcBorders>
          <w:top w:val="nil"/>
          <w:left w:val="nil"/>
          <w:bottom w:val="nil"/>
          <w:right w:val="nil"/>
          <w:insideH w:val="nil"/>
          <w:insideV w:val="nil"/>
        </w:tcBorders>
        <w:shd w:val="clear" w:color="auto" w:fill="127A3D"/>
      </w:tcPr>
    </w:tblStylePr>
    <w:tblStylePr w:type="band1Horz">
      <w:tblPr/>
      <w:tcPr>
        <w:tcBorders>
          <w:top w:val="nil"/>
          <w:left w:val="nil"/>
          <w:bottom w:val="nil"/>
          <w:right w:val="nil"/>
          <w:insideH w:val="nil"/>
          <w:insideV w:val="nil"/>
        </w:tcBorders>
        <w:shd w:val="clear" w:color="auto" w:fill="127A3D"/>
      </w:tcPr>
    </w:tblStylePr>
  </w:style>
  <w:style w:type="table" w:customStyle="1" w:styleId="DarkList-Accent31">
    <w:name w:val="Dark List - Accent 31"/>
    <w:basedOn w:val="TableNormal"/>
    <w:next w:val="DarkList-Accent3"/>
    <w:semiHidden/>
    <w:unhideWhenUsed/>
    <w:rsid w:val="0057062A"/>
    <w:pPr>
      <w:spacing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Pr>
    <w:tcPr>
      <w:shd w:val="clear" w:color="auto" w:fill="F5693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02707"/>
      </w:tcPr>
    </w:tblStylePr>
    <w:tblStylePr w:type="firstCol">
      <w:tblPr/>
      <w:tcPr>
        <w:tcBorders>
          <w:top w:val="nil"/>
          <w:left w:val="nil"/>
          <w:bottom w:val="nil"/>
          <w:right w:val="single" w:sz="18" w:space="0" w:color="FFFFFF"/>
          <w:insideH w:val="nil"/>
          <w:insideV w:val="nil"/>
        </w:tcBorders>
        <w:shd w:val="clear" w:color="auto" w:fill="D93B0B"/>
      </w:tcPr>
    </w:tblStylePr>
    <w:tblStylePr w:type="lastCol">
      <w:tblPr/>
      <w:tcPr>
        <w:tcBorders>
          <w:top w:val="nil"/>
          <w:left w:val="single" w:sz="18" w:space="0" w:color="FFFFFF"/>
          <w:bottom w:val="nil"/>
          <w:right w:val="nil"/>
          <w:insideH w:val="nil"/>
          <w:insideV w:val="nil"/>
        </w:tcBorders>
        <w:shd w:val="clear" w:color="auto" w:fill="D93B0B"/>
      </w:tcPr>
    </w:tblStylePr>
    <w:tblStylePr w:type="band1Vert">
      <w:tblPr/>
      <w:tcPr>
        <w:tcBorders>
          <w:top w:val="nil"/>
          <w:left w:val="nil"/>
          <w:bottom w:val="nil"/>
          <w:right w:val="nil"/>
          <w:insideH w:val="nil"/>
          <w:insideV w:val="nil"/>
        </w:tcBorders>
        <w:shd w:val="clear" w:color="auto" w:fill="D93B0B"/>
      </w:tcPr>
    </w:tblStylePr>
    <w:tblStylePr w:type="band1Horz">
      <w:tblPr/>
      <w:tcPr>
        <w:tcBorders>
          <w:top w:val="nil"/>
          <w:left w:val="nil"/>
          <w:bottom w:val="nil"/>
          <w:right w:val="nil"/>
          <w:insideH w:val="nil"/>
          <w:insideV w:val="nil"/>
        </w:tcBorders>
        <w:shd w:val="clear" w:color="auto" w:fill="D93B0B"/>
      </w:tcPr>
    </w:tblStylePr>
  </w:style>
  <w:style w:type="table" w:customStyle="1" w:styleId="DarkList-Accent41">
    <w:name w:val="Dark List - Accent 41"/>
    <w:basedOn w:val="TableNormal"/>
    <w:next w:val="DarkList-Accent4"/>
    <w:semiHidden/>
    <w:unhideWhenUsed/>
    <w:rsid w:val="0057062A"/>
    <w:pPr>
      <w:spacing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Pr>
    <w:tcPr>
      <w:shd w:val="clear" w:color="auto" w:fill="14A6E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A5270"/>
      </w:tcPr>
    </w:tblStylePr>
    <w:tblStylePr w:type="firstCol">
      <w:tblPr/>
      <w:tcPr>
        <w:tcBorders>
          <w:top w:val="nil"/>
          <w:left w:val="nil"/>
          <w:bottom w:val="nil"/>
          <w:right w:val="single" w:sz="18" w:space="0" w:color="FFFFFF"/>
          <w:insideH w:val="nil"/>
          <w:insideV w:val="nil"/>
        </w:tcBorders>
        <w:shd w:val="clear" w:color="auto" w:fill="0F7BA8"/>
      </w:tcPr>
    </w:tblStylePr>
    <w:tblStylePr w:type="lastCol">
      <w:tblPr/>
      <w:tcPr>
        <w:tcBorders>
          <w:top w:val="nil"/>
          <w:left w:val="single" w:sz="18" w:space="0" w:color="FFFFFF"/>
          <w:bottom w:val="nil"/>
          <w:right w:val="nil"/>
          <w:insideH w:val="nil"/>
          <w:insideV w:val="nil"/>
        </w:tcBorders>
        <w:shd w:val="clear" w:color="auto" w:fill="0F7BA8"/>
      </w:tcPr>
    </w:tblStylePr>
    <w:tblStylePr w:type="band1Vert">
      <w:tblPr/>
      <w:tcPr>
        <w:tcBorders>
          <w:top w:val="nil"/>
          <w:left w:val="nil"/>
          <w:bottom w:val="nil"/>
          <w:right w:val="nil"/>
          <w:insideH w:val="nil"/>
          <w:insideV w:val="nil"/>
        </w:tcBorders>
        <w:shd w:val="clear" w:color="auto" w:fill="0F7BA8"/>
      </w:tcPr>
    </w:tblStylePr>
    <w:tblStylePr w:type="band1Horz">
      <w:tblPr/>
      <w:tcPr>
        <w:tcBorders>
          <w:top w:val="nil"/>
          <w:left w:val="nil"/>
          <w:bottom w:val="nil"/>
          <w:right w:val="nil"/>
          <w:insideH w:val="nil"/>
          <w:insideV w:val="nil"/>
        </w:tcBorders>
        <w:shd w:val="clear" w:color="auto" w:fill="0F7BA8"/>
      </w:tcPr>
    </w:tblStylePr>
  </w:style>
  <w:style w:type="table" w:customStyle="1" w:styleId="DarkList-Accent51">
    <w:name w:val="Dark List - Accent 51"/>
    <w:basedOn w:val="TableNormal"/>
    <w:next w:val="DarkList-Accent5"/>
    <w:semiHidden/>
    <w:unhideWhenUsed/>
    <w:rsid w:val="0057062A"/>
    <w:pPr>
      <w:spacing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Pr>
    <w:tcPr>
      <w:shd w:val="clear" w:color="auto" w:fill="215E9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02E49"/>
      </w:tcPr>
    </w:tblStylePr>
    <w:tblStylePr w:type="firstCol">
      <w:tblPr/>
      <w:tcPr>
        <w:tcBorders>
          <w:top w:val="nil"/>
          <w:left w:val="nil"/>
          <w:bottom w:val="nil"/>
          <w:right w:val="single" w:sz="18" w:space="0" w:color="FFFFFF"/>
          <w:insideH w:val="nil"/>
          <w:insideV w:val="nil"/>
        </w:tcBorders>
        <w:shd w:val="clear" w:color="auto" w:fill="18466E"/>
      </w:tcPr>
    </w:tblStylePr>
    <w:tblStylePr w:type="lastCol">
      <w:tblPr/>
      <w:tcPr>
        <w:tcBorders>
          <w:top w:val="nil"/>
          <w:left w:val="single" w:sz="18" w:space="0" w:color="FFFFFF"/>
          <w:bottom w:val="nil"/>
          <w:right w:val="nil"/>
          <w:insideH w:val="nil"/>
          <w:insideV w:val="nil"/>
        </w:tcBorders>
        <w:shd w:val="clear" w:color="auto" w:fill="18466E"/>
      </w:tcPr>
    </w:tblStylePr>
    <w:tblStylePr w:type="band1Vert">
      <w:tblPr/>
      <w:tcPr>
        <w:tcBorders>
          <w:top w:val="nil"/>
          <w:left w:val="nil"/>
          <w:bottom w:val="nil"/>
          <w:right w:val="nil"/>
          <w:insideH w:val="nil"/>
          <w:insideV w:val="nil"/>
        </w:tcBorders>
        <w:shd w:val="clear" w:color="auto" w:fill="18466E"/>
      </w:tcPr>
    </w:tblStylePr>
    <w:tblStylePr w:type="band1Horz">
      <w:tblPr/>
      <w:tcPr>
        <w:tcBorders>
          <w:top w:val="nil"/>
          <w:left w:val="nil"/>
          <w:bottom w:val="nil"/>
          <w:right w:val="nil"/>
          <w:insideH w:val="nil"/>
          <w:insideV w:val="nil"/>
        </w:tcBorders>
        <w:shd w:val="clear" w:color="auto" w:fill="18466E"/>
      </w:tcPr>
    </w:tblStylePr>
  </w:style>
  <w:style w:type="table" w:customStyle="1" w:styleId="DarkList-Accent61">
    <w:name w:val="Dark List - Accent 61"/>
    <w:basedOn w:val="TableNormal"/>
    <w:next w:val="DarkList-Accent6"/>
    <w:semiHidden/>
    <w:unhideWhenUsed/>
    <w:rsid w:val="0057062A"/>
    <w:pPr>
      <w:spacing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Pr>
    <w:tcPr>
      <w:shd w:val="clear" w:color="auto" w:fill="FFCE4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A07600"/>
      </w:tcPr>
    </w:tblStylePr>
    <w:tblStylePr w:type="firstCol">
      <w:tblPr/>
      <w:tcPr>
        <w:tcBorders>
          <w:top w:val="nil"/>
          <w:left w:val="nil"/>
          <w:bottom w:val="nil"/>
          <w:right w:val="single" w:sz="18" w:space="0" w:color="FFFFFF"/>
          <w:insideH w:val="nil"/>
          <w:insideV w:val="nil"/>
        </w:tcBorders>
        <w:shd w:val="clear" w:color="auto" w:fill="F1B100"/>
      </w:tcPr>
    </w:tblStylePr>
    <w:tblStylePr w:type="lastCol">
      <w:tblPr/>
      <w:tcPr>
        <w:tcBorders>
          <w:top w:val="nil"/>
          <w:left w:val="single" w:sz="18" w:space="0" w:color="FFFFFF"/>
          <w:bottom w:val="nil"/>
          <w:right w:val="nil"/>
          <w:insideH w:val="nil"/>
          <w:insideV w:val="nil"/>
        </w:tcBorders>
        <w:shd w:val="clear" w:color="auto" w:fill="F1B100"/>
      </w:tcPr>
    </w:tblStylePr>
    <w:tblStylePr w:type="band1Vert">
      <w:tblPr/>
      <w:tcPr>
        <w:tcBorders>
          <w:top w:val="nil"/>
          <w:left w:val="nil"/>
          <w:bottom w:val="nil"/>
          <w:right w:val="nil"/>
          <w:insideH w:val="nil"/>
          <w:insideV w:val="nil"/>
        </w:tcBorders>
        <w:shd w:val="clear" w:color="auto" w:fill="F1B100"/>
      </w:tcPr>
    </w:tblStylePr>
    <w:tblStylePr w:type="band1Horz">
      <w:tblPr/>
      <w:tcPr>
        <w:tcBorders>
          <w:top w:val="nil"/>
          <w:left w:val="nil"/>
          <w:bottom w:val="nil"/>
          <w:right w:val="nil"/>
          <w:insideH w:val="nil"/>
          <w:insideV w:val="nil"/>
        </w:tcBorders>
        <w:shd w:val="clear" w:color="auto" w:fill="F1B100"/>
      </w:tcPr>
    </w:tblStylePr>
  </w:style>
  <w:style w:type="table" w:customStyle="1" w:styleId="GridTable1Light1">
    <w:name w:val="Grid Table 1 Light1"/>
    <w:basedOn w:val="TableNormal"/>
    <w:next w:val="GridTable1Light"/>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C9C4E0"/>
        <w:left w:val="single" w:sz="4" w:space="0" w:color="C9C4E0"/>
        <w:bottom w:val="single" w:sz="4" w:space="0" w:color="C9C4E0"/>
        <w:right w:val="single" w:sz="4" w:space="0" w:color="C9C4E0"/>
        <w:insideH w:val="single" w:sz="4" w:space="0" w:color="C9C4E0"/>
        <w:insideV w:val="single" w:sz="4" w:space="0" w:color="C9C4E0"/>
      </w:tblBorders>
    </w:tblPr>
    <w:tblStylePr w:type="firstRow">
      <w:rPr>
        <w:b/>
        <w:bCs/>
      </w:rPr>
      <w:tblPr/>
      <w:tcPr>
        <w:tcBorders>
          <w:bottom w:val="single" w:sz="12" w:space="0" w:color="AFA7D0"/>
        </w:tcBorders>
      </w:tcPr>
    </w:tblStylePr>
    <w:tblStylePr w:type="lastRow">
      <w:rPr>
        <w:b/>
        <w:bCs/>
      </w:rPr>
      <w:tblPr/>
      <w:tcPr>
        <w:tcBorders>
          <w:top w:val="double" w:sz="2" w:space="0" w:color="AFA7D0"/>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8EEEB6"/>
        <w:left w:val="single" w:sz="4" w:space="0" w:color="8EEEB6"/>
        <w:bottom w:val="single" w:sz="4" w:space="0" w:color="8EEEB6"/>
        <w:right w:val="single" w:sz="4" w:space="0" w:color="8EEEB6"/>
        <w:insideH w:val="single" w:sz="4" w:space="0" w:color="8EEEB6"/>
        <w:insideV w:val="single" w:sz="4" w:space="0" w:color="8EEEB6"/>
      </w:tblBorders>
    </w:tblPr>
    <w:tblStylePr w:type="firstRow">
      <w:rPr>
        <w:b/>
        <w:bCs/>
      </w:rPr>
      <w:tblPr/>
      <w:tcPr>
        <w:tcBorders>
          <w:bottom w:val="single" w:sz="12" w:space="0" w:color="56E692"/>
        </w:tcBorders>
      </w:tcPr>
    </w:tblStylePr>
    <w:tblStylePr w:type="lastRow">
      <w:rPr>
        <w:b/>
        <w:bCs/>
      </w:rPr>
      <w:tblPr/>
      <w:tcPr>
        <w:tcBorders>
          <w:top w:val="double" w:sz="2" w:space="0" w:color="56E692"/>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BC2B1"/>
        <w:left w:val="single" w:sz="4" w:space="0" w:color="FBC2B1"/>
        <w:bottom w:val="single" w:sz="4" w:space="0" w:color="FBC2B1"/>
        <w:right w:val="single" w:sz="4" w:space="0" w:color="FBC2B1"/>
        <w:insideH w:val="single" w:sz="4" w:space="0" w:color="FBC2B1"/>
        <w:insideV w:val="single" w:sz="4" w:space="0" w:color="FBC2B1"/>
      </w:tblBorders>
    </w:tblPr>
    <w:tblStylePr w:type="firstRow">
      <w:rPr>
        <w:b/>
        <w:bCs/>
      </w:rPr>
      <w:tblPr/>
      <w:tcPr>
        <w:tcBorders>
          <w:bottom w:val="single" w:sz="12" w:space="0" w:color="F9A48A"/>
        </w:tcBorders>
      </w:tcPr>
    </w:tblStylePr>
    <w:tblStylePr w:type="lastRow">
      <w:rPr>
        <w:b/>
        <w:bCs/>
      </w:rPr>
      <w:tblPr/>
      <w:tcPr>
        <w:tcBorders>
          <w:top w:val="double" w:sz="2" w:space="0" w:color="F9A48A"/>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9DDCF6"/>
        <w:left w:val="single" w:sz="4" w:space="0" w:color="9DDCF6"/>
        <w:bottom w:val="single" w:sz="4" w:space="0" w:color="9DDCF6"/>
        <w:right w:val="single" w:sz="4" w:space="0" w:color="9DDCF6"/>
        <w:insideH w:val="single" w:sz="4" w:space="0" w:color="9DDCF6"/>
        <w:insideV w:val="single" w:sz="4" w:space="0" w:color="9DDCF6"/>
      </w:tblBorders>
    </w:tblPr>
    <w:tblStylePr w:type="firstRow">
      <w:rPr>
        <w:b/>
        <w:bCs/>
      </w:rPr>
      <w:tblPr/>
      <w:tcPr>
        <w:tcBorders>
          <w:bottom w:val="single" w:sz="12" w:space="0" w:color="6CCBF2"/>
        </w:tcBorders>
      </w:tcPr>
    </w:tblStylePr>
    <w:tblStylePr w:type="lastRow">
      <w:rPr>
        <w:b/>
        <w:bCs/>
      </w:rPr>
      <w:tblPr/>
      <w:tcPr>
        <w:tcBorders>
          <w:top w:val="double" w:sz="2" w:space="0" w:color="6CCBF2"/>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93BFE7"/>
        <w:left w:val="single" w:sz="4" w:space="0" w:color="93BFE7"/>
        <w:bottom w:val="single" w:sz="4" w:space="0" w:color="93BFE7"/>
        <w:right w:val="single" w:sz="4" w:space="0" w:color="93BFE7"/>
        <w:insideH w:val="single" w:sz="4" w:space="0" w:color="93BFE7"/>
        <w:insideV w:val="single" w:sz="4" w:space="0" w:color="93BFE7"/>
      </w:tblBorders>
    </w:tblPr>
    <w:tblStylePr w:type="firstRow">
      <w:rPr>
        <w:b/>
        <w:bCs/>
      </w:rPr>
      <w:tblPr/>
      <w:tcPr>
        <w:tcBorders>
          <w:bottom w:val="single" w:sz="12" w:space="0" w:color="5D9FDB"/>
        </w:tcBorders>
      </w:tcPr>
    </w:tblStylePr>
    <w:tblStylePr w:type="lastRow">
      <w:rPr>
        <w:b/>
        <w:bCs/>
      </w:rPr>
      <w:tblPr/>
      <w:tcPr>
        <w:tcBorders>
          <w:top w:val="double" w:sz="2" w:space="0" w:color="5D9FDB"/>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EBB3"/>
        <w:left w:val="single" w:sz="4" w:space="0" w:color="FFEBB3"/>
        <w:bottom w:val="single" w:sz="4" w:space="0" w:color="FFEBB3"/>
        <w:right w:val="single" w:sz="4" w:space="0" w:color="FFEBB3"/>
        <w:insideH w:val="single" w:sz="4" w:space="0" w:color="FFEBB3"/>
        <w:insideV w:val="single" w:sz="4" w:space="0" w:color="FFEBB3"/>
      </w:tblBorders>
    </w:tblPr>
    <w:tblStylePr w:type="firstRow">
      <w:rPr>
        <w:b/>
        <w:bCs/>
      </w:rPr>
      <w:tblPr/>
      <w:tcPr>
        <w:tcBorders>
          <w:bottom w:val="single" w:sz="12" w:space="0" w:color="FFE18E"/>
        </w:tcBorders>
      </w:tcPr>
    </w:tblStylePr>
    <w:tblStylePr w:type="lastRow">
      <w:rPr>
        <w:b/>
        <w:bCs/>
      </w:rPr>
      <w:tblPr/>
      <w:tcPr>
        <w:tcBorders>
          <w:top w:val="double" w:sz="2" w:space="0" w:color="FFE18E"/>
        </w:tcBorders>
      </w:tcPr>
    </w:tblStylePr>
    <w:tblStylePr w:type="firstCol">
      <w:rPr>
        <w:b/>
        <w:bCs/>
      </w:rPr>
    </w:tblStylePr>
    <w:tblStylePr w:type="lastCol">
      <w:rPr>
        <w:b/>
        <w:bCs/>
      </w:rPr>
    </w:tblStylePr>
  </w:style>
  <w:style w:type="table" w:customStyle="1" w:styleId="GridTable21">
    <w:name w:val="Grid Table 21"/>
    <w:basedOn w:val="TableNormal"/>
    <w:next w:val="GridTable2"/>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2" w:space="0" w:color="AFA7D0"/>
        <w:bottom w:val="single" w:sz="2" w:space="0" w:color="AFA7D0"/>
        <w:insideH w:val="single" w:sz="2" w:space="0" w:color="AFA7D0"/>
        <w:insideV w:val="single" w:sz="2" w:space="0" w:color="AFA7D0"/>
      </w:tblBorders>
    </w:tblPr>
    <w:tblStylePr w:type="firstRow">
      <w:rPr>
        <w:b/>
        <w:bCs/>
      </w:rPr>
      <w:tblPr/>
      <w:tcPr>
        <w:tcBorders>
          <w:top w:val="nil"/>
          <w:bottom w:val="single" w:sz="12" w:space="0" w:color="AFA7D0"/>
          <w:insideH w:val="nil"/>
          <w:insideV w:val="nil"/>
        </w:tcBorders>
        <w:shd w:val="clear" w:color="auto" w:fill="FFFFFF"/>
      </w:tcPr>
    </w:tblStylePr>
    <w:tblStylePr w:type="lastRow">
      <w:rPr>
        <w:b/>
        <w:bCs/>
      </w:rPr>
      <w:tblPr/>
      <w:tcPr>
        <w:tcBorders>
          <w:top w:val="double" w:sz="2" w:space="0" w:color="AFA7D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4E1EF"/>
      </w:tcPr>
    </w:tblStylePr>
    <w:tblStylePr w:type="band1Horz">
      <w:tblPr/>
      <w:tcPr>
        <w:shd w:val="clear" w:color="auto" w:fill="E4E1EF"/>
      </w:tcPr>
    </w:tblStylePr>
  </w:style>
  <w:style w:type="table" w:customStyle="1" w:styleId="GridTable2-Accent21">
    <w:name w:val="Grid Table 2 - Accent 21"/>
    <w:basedOn w:val="TableNormal"/>
    <w:next w:val="GridTable2-Accent2"/>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2" w:space="0" w:color="56E692"/>
        <w:bottom w:val="single" w:sz="2" w:space="0" w:color="56E692"/>
        <w:insideH w:val="single" w:sz="2" w:space="0" w:color="56E692"/>
        <w:insideV w:val="single" w:sz="2" w:space="0" w:color="56E692"/>
      </w:tblBorders>
    </w:tblPr>
    <w:tblStylePr w:type="firstRow">
      <w:rPr>
        <w:b/>
        <w:bCs/>
      </w:rPr>
      <w:tblPr/>
      <w:tcPr>
        <w:tcBorders>
          <w:top w:val="nil"/>
          <w:bottom w:val="single" w:sz="12" w:space="0" w:color="56E692"/>
          <w:insideH w:val="nil"/>
          <w:insideV w:val="nil"/>
        </w:tcBorders>
        <w:shd w:val="clear" w:color="auto" w:fill="FFFFFF"/>
      </w:tcPr>
    </w:tblStylePr>
    <w:tblStylePr w:type="lastRow">
      <w:rPr>
        <w:b/>
        <w:bCs/>
      </w:rPr>
      <w:tblPr/>
      <w:tcPr>
        <w:tcBorders>
          <w:top w:val="double" w:sz="2" w:space="0" w:color="56E69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6F6DA"/>
      </w:tcPr>
    </w:tblStylePr>
    <w:tblStylePr w:type="band1Horz">
      <w:tblPr/>
      <w:tcPr>
        <w:shd w:val="clear" w:color="auto" w:fill="C6F6DA"/>
      </w:tcPr>
    </w:tblStylePr>
  </w:style>
  <w:style w:type="table" w:customStyle="1" w:styleId="GridTable2-Accent31">
    <w:name w:val="Grid Table 2 - Accent 31"/>
    <w:basedOn w:val="TableNormal"/>
    <w:next w:val="GridTable2-Accent3"/>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2" w:space="0" w:color="F9A48A"/>
        <w:bottom w:val="single" w:sz="2" w:space="0" w:color="F9A48A"/>
        <w:insideH w:val="single" w:sz="2" w:space="0" w:color="F9A48A"/>
        <w:insideV w:val="single" w:sz="2" w:space="0" w:color="F9A48A"/>
      </w:tblBorders>
    </w:tblPr>
    <w:tblStylePr w:type="firstRow">
      <w:rPr>
        <w:b/>
        <w:bCs/>
      </w:rPr>
      <w:tblPr/>
      <w:tcPr>
        <w:tcBorders>
          <w:top w:val="nil"/>
          <w:bottom w:val="single" w:sz="12" w:space="0" w:color="F9A48A"/>
          <w:insideH w:val="nil"/>
          <w:insideV w:val="nil"/>
        </w:tcBorders>
        <w:shd w:val="clear" w:color="auto" w:fill="FFFFFF"/>
      </w:tcPr>
    </w:tblStylePr>
    <w:tblStylePr w:type="lastRow">
      <w:rPr>
        <w:b/>
        <w:bCs/>
      </w:rPr>
      <w:tblPr/>
      <w:tcPr>
        <w:tcBorders>
          <w:top w:val="double" w:sz="2" w:space="0" w:color="F9A48A"/>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0D8"/>
      </w:tcPr>
    </w:tblStylePr>
    <w:tblStylePr w:type="band1Horz">
      <w:tblPr/>
      <w:tcPr>
        <w:shd w:val="clear" w:color="auto" w:fill="FDE0D8"/>
      </w:tcPr>
    </w:tblStylePr>
  </w:style>
  <w:style w:type="table" w:customStyle="1" w:styleId="GridTable2-Accent41">
    <w:name w:val="Grid Table 2 - Accent 41"/>
    <w:basedOn w:val="TableNormal"/>
    <w:next w:val="GridTable2-Accent4"/>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2" w:space="0" w:color="6CCBF2"/>
        <w:bottom w:val="single" w:sz="2" w:space="0" w:color="6CCBF2"/>
        <w:insideH w:val="single" w:sz="2" w:space="0" w:color="6CCBF2"/>
        <w:insideV w:val="single" w:sz="2" w:space="0" w:color="6CCBF2"/>
      </w:tblBorders>
    </w:tblPr>
    <w:tblStylePr w:type="firstRow">
      <w:rPr>
        <w:b/>
        <w:bCs/>
      </w:rPr>
      <w:tblPr/>
      <w:tcPr>
        <w:tcBorders>
          <w:top w:val="nil"/>
          <w:bottom w:val="single" w:sz="12" w:space="0" w:color="6CCBF2"/>
          <w:insideH w:val="nil"/>
          <w:insideV w:val="nil"/>
        </w:tcBorders>
        <w:shd w:val="clear" w:color="auto" w:fill="FFFFFF"/>
      </w:tcPr>
    </w:tblStylePr>
    <w:tblStylePr w:type="lastRow">
      <w:rPr>
        <w:b/>
        <w:bCs/>
      </w:rPr>
      <w:tblPr/>
      <w:tcPr>
        <w:tcBorders>
          <w:top w:val="double" w:sz="2" w:space="0" w:color="6CCBF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EEDFA"/>
      </w:tcPr>
    </w:tblStylePr>
    <w:tblStylePr w:type="band1Horz">
      <w:tblPr/>
      <w:tcPr>
        <w:shd w:val="clear" w:color="auto" w:fill="CEEDFA"/>
      </w:tcPr>
    </w:tblStylePr>
  </w:style>
  <w:style w:type="table" w:customStyle="1" w:styleId="GridTable2-Accent51">
    <w:name w:val="Grid Table 2 - Accent 51"/>
    <w:basedOn w:val="TableNormal"/>
    <w:next w:val="GridTable2-Accent5"/>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2" w:space="0" w:color="5D9FDB"/>
        <w:bottom w:val="single" w:sz="2" w:space="0" w:color="5D9FDB"/>
        <w:insideH w:val="single" w:sz="2" w:space="0" w:color="5D9FDB"/>
        <w:insideV w:val="single" w:sz="2" w:space="0" w:color="5D9FDB"/>
      </w:tblBorders>
    </w:tblPr>
    <w:tblStylePr w:type="firstRow">
      <w:rPr>
        <w:b/>
        <w:bCs/>
      </w:rPr>
      <w:tblPr/>
      <w:tcPr>
        <w:tcBorders>
          <w:top w:val="nil"/>
          <w:bottom w:val="single" w:sz="12" w:space="0" w:color="5D9FDB"/>
          <w:insideH w:val="nil"/>
          <w:insideV w:val="nil"/>
        </w:tcBorders>
        <w:shd w:val="clear" w:color="auto" w:fill="FFFFFF"/>
      </w:tcPr>
    </w:tblStylePr>
    <w:tblStylePr w:type="lastRow">
      <w:rPr>
        <w:b/>
        <w:bCs/>
      </w:rPr>
      <w:tblPr/>
      <w:tcPr>
        <w:tcBorders>
          <w:top w:val="double" w:sz="2" w:space="0" w:color="5D9F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9DFF3"/>
      </w:tcPr>
    </w:tblStylePr>
    <w:tblStylePr w:type="band1Horz">
      <w:tblPr/>
      <w:tcPr>
        <w:shd w:val="clear" w:color="auto" w:fill="C9DFF3"/>
      </w:tcPr>
    </w:tblStylePr>
  </w:style>
  <w:style w:type="table" w:customStyle="1" w:styleId="GridTable2-Accent61">
    <w:name w:val="Grid Table 2 - Accent 61"/>
    <w:basedOn w:val="TableNormal"/>
    <w:next w:val="GridTable2-Accent6"/>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2" w:space="0" w:color="FFE18E"/>
        <w:bottom w:val="single" w:sz="2" w:space="0" w:color="FFE18E"/>
        <w:insideH w:val="single" w:sz="2" w:space="0" w:color="FFE18E"/>
        <w:insideV w:val="single" w:sz="2" w:space="0" w:color="FFE18E"/>
      </w:tblBorders>
    </w:tblPr>
    <w:tblStylePr w:type="firstRow">
      <w:rPr>
        <w:b/>
        <w:bCs/>
      </w:rPr>
      <w:tblPr/>
      <w:tcPr>
        <w:tcBorders>
          <w:top w:val="nil"/>
          <w:bottom w:val="single" w:sz="12" w:space="0" w:color="FFE18E"/>
          <w:insideH w:val="nil"/>
          <w:insideV w:val="nil"/>
        </w:tcBorders>
        <w:shd w:val="clear" w:color="auto" w:fill="FFFFFF"/>
      </w:tcPr>
    </w:tblStylePr>
    <w:tblStylePr w:type="lastRow">
      <w:rPr>
        <w:b/>
        <w:bCs/>
      </w:rPr>
      <w:tblPr/>
      <w:tcPr>
        <w:tcBorders>
          <w:top w:val="double" w:sz="2" w:space="0" w:color="FFE18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5D9"/>
      </w:tcPr>
    </w:tblStylePr>
    <w:tblStylePr w:type="band1Horz">
      <w:tblPr/>
      <w:tcPr>
        <w:shd w:val="clear" w:color="auto" w:fill="FFF5D9"/>
      </w:tcPr>
    </w:tblStylePr>
  </w:style>
  <w:style w:type="table" w:customStyle="1" w:styleId="GridTable31">
    <w:name w:val="Grid Table 31"/>
    <w:basedOn w:val="TableNormal"/>
    <w:next w:val="GridTable3"/>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AFA7D0"/>
        <w:left w:val="single" w:sz="4" w:space="0" w:color="AFA7D0"/>
        <w:bottom w:val="single" w:sz="4" w:space="0" w:color="AFA7D0"/>
        <w:right w:val="single" w:sz="4" w:space="0" w:color="AFA7D0"/>
        <w:insideH w:val="single" w:sz="4" w:space="0" w:color="AFA7D0"/>
        <w:insideV w:val="single" w:sz="4" w:space="0" w:color="AFA7D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4E1EF"/>
      </w:tcPr>
    </w:tblStylePr>
    <w:tblStylePr w:type="band1Horz">
      <w:tblPr/>
      <w:tcPr>
        <w:shd w:val="clear" w:color="auto" w:fill="E4E1EF"/>
      </w:tcPr>
    </w:tblStylePr>
    <w:tblStylePr w:type="neCell">
      <w:tblPr/>
      <w:tcPr>
        <w:tcBorders>
          <w:bottom w:val="single" w:sz="4" w:space="0" w:color="AFA7D0"/>
        </w:tcBorders>
      </w:tcPr>
    </w:tblStylePr>
    <w:tblStylePr w:type="nwCell">
      <w:tblPr/>
      <w:tcPr>
        <w:tcBorders>
          <w:bottom w:val="single" w:sz="4" w:space="0" w:color="AFA7D0"/>
        </w:tcBorders>
      </w:tcPr>
    </w:tblStylePr>
    <w:tblStylePr w:type="seCell">
      <w:tblPr/>
      <w:tcPr>
        <w:tcBorders>
          <w:top w:val="single" w:sz="4" w:space="0" w:color="AFA7D0"/>
        </w:tcBorders>
      </w:tcPr>
    </w:tblStylePr>
    <w:tblStylePr w:type="swCell">
      <w:tblPr/>
      <w:tcPr>
        <w:tcBorders>
          <w:top w:val="single" w:sz="4" w:space="0" w:color="AFA7D0"/>
        </w:tcBorders>
      </w:tcPr>
    </w:tblStylePr>
  </w:style>
  <w:style w:type="table" w:customStyle="1" w:styleId="GridTable3-Accent21">
    <w:name w:val="Grid Table 3 - Accent 21"/>
    <w:basedOn w:val="TableNormal"/>
    <w:next w:val="GridTable3-Accent2"/>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56E692"/>
        <w:left w:val="single" w:sz="4" w:space="0" w:color="56E692"/>
        <w:bottom w:val="single" w:sz="4" w:space="0" w:color="56E692"/>
        <w:right w:val="single" w:sz="4" w:space="0" w:color="56E692"/>
        <w:insideH w:val="single" w:sz="4" w:space="0" w:color="56E692"/>
        <w:insideV w:val="single" w:sz="4" w:space="0" w:color="56E692"/>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6F6DA"/>
      </w:tcPr>
    </w:tblStylePr>
    <w:tblStylePr w:type="band1Horz">
      <w:tblPr/>
      <w:tcPr>
        <w:shd w:val="clear" w:color="auto" w:fill="C6F6DA"/>
      </w:tcPr>
    </w:tblStylePr>
    <w:tblStylePr w:type="neCell">
      <w:tblPr/>
      <w:tcPr>
        <w:tcBorders>
          <w:bottom w:val="single" w:sz="4" w:space="0" w:color="56E692"/>
        </w:tcBorders>
      </w:tcPr>
    </w:tblStylePr>
    <w:tblStylePr w:type="nwCell">
      <w:tblPr/>
      <w:tcPr>
        <w:tcBorders>
          <w:bottom w:val="single" w:sz="4" w:space="0" w:color="56E692"/>
        </w:tcBorders>
      </w:tcPr>
    </w:tblStylePr>
    <w:tblStylePr w:type="seCell">
      <w:tblPr/>
      <w:tcPr>
        <w:tcBorders>
          <w:top w:val="single" w:sz="4" w:space="0" w:color="56E692"/>
        </w:tcBorders>
      </w:tcPr>
    </w:tblStylePr>
    <w:tblStylePr w:type="swCell">
      <w:tblPr/>
      <w:tcPr>
        <w:tcBorders>
          <w:top w:val="single" w:sz="4" w:space="0" w:color="56E692"/>
        </w:tcBorders>
      </w:tcPr>
    </w:tblStylePr>
  </w:style>
  <w:style w:type="table" w:customStyle="1" w:styleId="GridTable3-Accent31">
    <w:name w:val="Grid Table 3 - Accent 31"/>
    <w:basedOn w:val="TableNormal"/>
    <w:next w:val="GridTable3-Accent3"/>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9A48A"/>
        <w:left w:val="single" w:sz="4" w:space="0" w:color="F9A48A"/>
        <w:bottom w:val="single" w:sz="4" w:space="0" w:color="F9A48A"/>
        <w:right w:val="single" w:sz="4" w:space="0" w:color="F9A48A"/>
        <w:insideH w:val="single" w:sz="4" w:space="0" w:color="F9A48A"/>
        <w:insideV w:val="single" w:sz="4" w:space="0" w:color="F9A48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0D8"/>
      </w:tcPr>
    </w:tblStylePr>
    <w:tblStylePr w:type="band1Horz">
      <w:tblPr/>
      <w:tcPr>
        <w:shd w:val="clear" w:color="auto" w:fill="FDE0D8"/>
      </w:tcPr>
    </w:tblStylePr>
    <w:tblStylePr w:type="neCell">
      <w:tblPr/>
      <w:tcPr>
        <w:tcBorders>
          <w:bottom w:val="single" w:sz="4" w:space="0" w:color="F9A48A"/>
        </w:tcBorders>
      </w:tcPr>
    </w:tblStylePr>
    <w:tblStylePr w:type="nwCell">
      <w:tblPr/>
      <w:tcPr>
        <w:tcBorders>
          <w:bottom w:val="single" w:sz="4" w:space="0" w:color="F9A48A"/>
        </w:tcBorders>
      </w:tcPr>
    </w:tblStylePr>
    <w:tblStylePr w:type="seCell">
      <w:tblPr/>
      <w:tcPr>
        <w:tcBorders>
          <w:top w:val="single" w:sz="4" w:space="0" w:color="F9A48A"/>
        </w:tcBorders>
      </w:tcPr>
    </w:tblStylePr>
    <w:tblStylePr w:type="swCell">
      <w:tblPr/>
      <w:tcPr>
        <w:tcBorders>
          <w:top w:val="single" w:sz="4" w:space="0" w:color="F9A48A"/>
        </w:tcBorders>
      </w:tcPr>
    </w:tblStylePr>
  </w:style>
  <w:style w:type="table" w:customStyle="1" w:styleId="GridTable3-Accent41">
    <w:name w:val="Grid Table 3 - Accent 41"/>
    <w:basedOn w:val="TableNormal"/>
    <w:next w:val="GridTable3-Accent4"/>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6CCBF2"/>
        <w:left w:val="single" w:sz="4" w:space="0" w:color="6CCBF2"/>
        <w:bottom w:val="single" w:sz="4" w:space="0" w:color="6CCBF2"/>
        <w:right w:val="single" w:sz="4" w:space="0" w:color="6CCBF2"/>
        <w:insideH w:val="single" w:sz="4" w:space="0" w:color="6CCBF2"/>
        <w:insideV w:val="single" w:sz="4" w:space="0" w:color="6CCBF2"/>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EEDFA"/>
      </w:tcPr>
    </w:tblStylePr>
    <w:tblStylePr w:type="band1Horz">
      <w:tblPr/>
      <w:tcPr>
        <w:shd w:val="clear" w:color="auto" w:fill="CEEDFA"/>
      </w:tcPr>
    </w:tblStylePr>
    <w:tblStylePr w:type="neCell">
      <w:tblPr/>
      <w:tcPr>
        <w:tcBorders>
          <w:bottom w:val="single" w:sz="4" w:space="0" w:color="6CCBF2"/>
        </w:tcBorders>
      </w:tcPr>
    </w:tblStylePr>
    <w:tblStylePr w:type="nwCell">
      <w:tblPr/>
      <w:tcPr>
        <w:tcBorders>
          <w:bottom w:val="single" w:sz="4" w:space="0" w:color="6CCBF2"/>
        </w:tcBorders>
      </w:tcPr>
    </w:tblStylePr>
    <w:tblStylePr w:type="seCell">
      <w:tblPr/>
      <w:tcPr>
        <w:tcBorders>
          <w:top w:val="single" w:sz="4" w:space="0" w:color="6CCBF2"/>
        </w:tcBorders>
      </w:tcPr>
    </w:tblStylePr>
    <w:tblStylePr w:type="swCell">
      <w:tblPr/>
      <w:tcPr>
        <w:tcBorders>
          <w:top w:val="single" w:sz="4" w:space="0" w:color="6CCBF2"/>
        </w:tcBorders>
      </w:tcPr>
    </w:tblStylePr>
  </w:style>
  <w:style w:type="table" w:customStyle="1" w:styleId="GridTable3-Accent51">
    <w:name w:val="Grid Table 3 - Accent 51"/>
    <w:basedOn w:val="TableNormal"/>
    <w:next w:val="GridTable3-Accent5"/>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5D9FDB"/>
        <w:left w:val="single" w:sz="4" w:space="0" w:color="5D9FDB"/>
        <w:bottom w:val="single" w:sz="4" w:space="0" w:color="5D9FDB"/>
        <w:right w:val="single" w:sz="4" w:space="0" w:color="5D9FDB"/>
        <w:insideH w:val="single" w:sz="4" w:space="0" w:color="5D9FDB"/>
        <w:insideV w:val="single" w:sz="4" w:space="0" w:color="5D9F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9DFF3"/>
      </w:tcPr>
    </w:tblStylePr>
    <w:tblStylePr w:type="band1Horz">
      <w:tblPr/>
      <w:tcPr>
        <w:shd w:val="clear" w:color="auto" w:fill="C9DFF3"/>
      </w:tcPr>
    </w:tblStylePr>
    <w:tblStylePr w:type="neCell">
      <w:tblPr/>
      <w:tcPr>
        <w:tcBorders>
          <w:bottom w:val="single" w:sz="4" w:space="0" w:color="5D9FDB"/>
        </w:tcBorders>
      </w:tcPr>
    </w:tblStylePr>
    <w:tblStylePr w:type="nwCell">
      <w:tblPr/>
      <w:tcPr>
        <w:tcBorders>
          <w:bottom w:val="single" w:sz="4" w:space="0" w:color="5D9FDB"/>
        </w:tcBorders>
      </w:tcPr>
    </w:tblStylePr>
    <w:tblStylePr w:type="seCell">
      <w:tblPr/>
      <w:tcPr>
        <w:tcBorders>
          <w:top w:val="single" w:sz="4" w:space="0" w:color="5D9FDB"/>
        </w:tcBorders>
      </w:tcPr>
    </w:tblStylePr>
    <w:tblStylePr w:type="swCell">
      <w:tblPr/>
      <w:tcPr>
        <w:tcBorders>
          <w:top w:val="single" w:sz="4" w:space="0" w:color="5D9FDB"/>
        </w:tcBorders>
      </w:tcPr>
    </w:tblStylePr>
  </w:style>
  <w:style w:type="table" w:customStyle="1" w:styleId="GridTable3-Accent61">
    <w:name w:val="Grid Table 3 - Accent 61"/>
    <w:basedOn w:val="TableNormal"/>
    <w:next w:val="GridTable3-Accent6"/>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E18E"/>
        <w:left w:val="single" w:sz="4" w:space="0" w:color="FFE18E"/>
        <w:bottom w:val="single" w:sz="4" w:space="0" w:color="FFE18E"/>
        <w:right w:val="single" w:sz="4" w:space="0" w:color="FFE18E"/>
        <w:insideH w:val="single" w:sz="4" w:space="0" w:color="FFE18E"/>
        <w:insideV w:val="single" w:sz="4" w:space="0" w:color="FFE18E"/>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5D9"/>
      </w:tcPr>
    </w:tblStylePr>
    <w:tblStylePr w:type="band1Horz">
      <w:tblPr/>
      <w:tcPr>
        <w:shd w:val="clear" w:color="auto" w:fill="FFF5D9"/>
      </w:tcPr>
    </w:tblStylePr>
    <w:tblStylePr w:type="neCell">
      <w:tblPr/>
      <w:tcPr>
        <w:tcBorders>
          <w:bottom w:val="single" w:sz="4" w:space="0" w:color="FFE18E"/>
        </w:tcBorders>
      </w:tcPr>
    </w:tblStylePr>
    <w:tblStylePr w:type="nwCell">
      <w:tblPr/>
      <w:tcPr>
        <w:tcBorders>
          <w:bottom w:val="single" w:sz="4" w:space="0" w:color="FFE18E"/>
        </w:tcBorders>
      </w:tcPr>
    </w:tblStylePr>
    <w:tblStylePr w:type="seCell">
      <w:tblPr/>
      <w:tcPr>
        <w:tcBorders>
          <w:top w:val="single" w:sz="4" w:space="0" w:color="FFE18E"/>
        </w:tcBorders>
      </w:tcPr>
    </w:tblStylePr>
    <w:tblStylePr w:type="swCell">
      <w:tblPr/>
      <w:tcPr>
        <w:tcBorders>
          <w:top w:val="single" w:sz="4" w:space="0" w:color="FFE18E"/>
        </w:tcBorders>
      </w:tcPr>
    </w:tblStylePr>
  </w:style>
  <w:style w:type="table" w:customStyle="1" w:styleId="GridTable41">
    <w:name w:val="Grid Table 41"/>
    <w:basedOn w:val="TableNormal"/>
    <w:next w:val="GridTable4"/>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AFA7D0"/>
        <w:left w:val="single" w:sz="4" w:space="0" w:color="AFA7D0"/>
        <w:bottom w:val="single" w:sz="4" w:space="0" w:color="AFA7D0"/>
        <w:right w:val="single" w:sz="4" w:space="0" w:color="AFA7D0"/>
        <w:insideH w:val="single" w:sz="4" w:space="0" w:color="AFA7D0"/>
        <w:insideV w:val="single" w:sz="4" w:space="0" w:color="AFA7D0"/>
      </w:tblBorders>
    </w:tblPr>
    <w:tblStylePr w:type="firstRow">
      <w:rPr>
        <w:b/>
        <w:bCs/>
        <w:color w:val="FFFFFF"/>
      </w:rPr>
      <w:tblPr/>
      <w:tcPr>
        <w:tcBorders>
          <w:top w:val="single" w:sz="4" w:space="0" w:color="7A6DB2"/>
          <w:left w:val="single" w:sz="4" w:space="0" w:color="7A6DB2"/>
          <w:bottom w:val="single" w:sz="4" w:space="0" w:color="7A6DB2"/>
          <w:right w:val="single" w:sz="4" w:space="0" w:color="7A6DB2"/>
          <w:insideH w:val="nil"/>
          <w:insideV w:val="nil"/>
        </w:tcBorders>
        <w:shd w:val="clear" w:color="auto" w:fill="7A6DB2"/>
      </w:tcPr>
    </w:tblStylePr>
    <w:tblStylePr w:type="lastRow">
      <w:rPr>
        <w:b/>
        <w:bCs/>
      </w:rPr>
      <w:tblPr/>
      <w:tcPr>
        <w:tcBorders>
          <w:top w:val="double" w:sz="4" w:space="0" w:color="7A6DB2"/>
        </w:tcBorders>
      </w:tcPr>
    </w:tblStylePr>
    <w:tblStylePr w:type="firstCol">
      <w:rPr>
        <w:b/>
        <w:bCs/>
      </w:rPr>
    </w:tblStylePr>
    <w:tblStylePr w:type="lastCol">
      <w:rPr>
        <w:b/>
        <w:bCs/>
      </w:rPr>
    </w:tblStylePr>
    <w:tblStylePr w:type="band1Vert">
      <w:tblPr/>
      <w:tcPr>
        <w:shd w:val="clear" w:color="auto" w:fill="E4E1EF"/>
      </w:tcPr>
    </w:tblStylePr>
    <w:tblStylePr w:type="band1Horz">
      <w:tblPr/>
      <w:tcPr>
        <w:shd w:val="clear" w:color="auto" w:fill="E4E1EF"/>
      </w:tcPr>
    </w:tblStylePr>
  </w:style>
  <w:style w:type="table" w:customStyle="1" w:styleId="GridTable4-Accent21">
    <w:name w:val="Grid Table 4 - Accent 21"/>
    <w:basedOn w:val="TableNormal"/>
    <w:next w:val="GridTable4-Accent2"/>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56E692"/>
        <w:left w:val="single" w:sz="4" w:space="0" w:color="56E692"/>
        <w:bottom w:val="single" w:sz="4" w:space="0" w:color="56E692"/>
        <w:right w:val="single" w:sz="4" w:space="0" w:color="56E692"/>
        <w:insideH w:val="single" w:sz="4" w:space="0" w:color="56E692"/>
        <w:insideV w:val="single" w:sz="4" w:space="0" w:color="56E692"/>
      </w:tblBorders>
    </w:tblPr>
    <w:tblStylePr w:type="firstRow">
      <w:rPr>
        <w:b/>
        <w:bCs/>
        <w:color w:val="FFFFFF"/>
      </w:rPr>
      <w:tblPr/>
      <w:tcPr>
        <w:tcBorders>
          <w:top w:val="single" w:sz="4" w:space="0" w:color="18A453"/>
          <w:left w:val="single" w:sz="4" w:space="0" w:color="18A453"/>
          <w:bottom w:val="single" w:sz="4" w:space="0" w:color="18A453"/>
          <w:right w:val="single" w:sz="4" w:space="0" w:color="18A453"/>
          <w:insideH w:val="nil"/>
          <w:insideV w:val="nil"/>
        </w:tcBorders>
        <w:shd w:val="clear" w:color="auto" w:fill="18A453"/>
      </w:tcPr>
    </w:tblStylePr>
    <w:tblStylePr w:type="lastRow">
      <w:rPr>
        <w:b/>
        <w:bCs/>
      </w:rPr>
      <w:tblPr/>
      <w:tcPr>
        <w:tcBorders>
          <w:top w:val="double" w:sz="4" w:space="0" w:color="18A453"/>
        </w:tcBorders>
      </w:tcPr>
    </w:tblStylePr>
    <w:tblStylePr w:type="firstCol">
      <w:rPr>
        <w:b/>
        <w:bCs/>
      </w:rPr>
    </w:tblStylePr>
    <w:tblStylePr w:type="lastCol">
      <w:rPr>
        <w:b/>
        <w:bCs/>
      </w:rPr>
    </w:tblStylePr>
    <w:tblStylePr w:type="band1Vert">
      <w:tblPr/>
      <w:tcPr>
        <w:shd w:val="clear" w:color="auto" w:fill="C6F6DA"/>
      </w:tcPr>
    </w:tblStylePr>
    <w:tblStylePr w:type="band1Horz">
      <w:tblPr/>
      <w:tcPr>
        <w:shd w:val="clear" w:color="auto" w:fill="C6F6DA"/>
      </w:tcPr>
    </w:tblStylePr>
  </w:style>
  <w:style w:type="table" w:customStyle="1" w:styleId="GridTable4-Accent31">
    <w:name w:val="Grid Table 4 - Accent 31"/>
    <w:basedOn w:val="TableNormal"/>
    <w:next w:val="GridTable4-Accent3"/>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9A48A"/>
        <w:left w:val="single" w:sz="4" w:space="0" w:color="F9A48A"/>
        <w:bottom w:val="single" w:sz="4" w:space="0" w:color="F9A48A"/>
        <w:right w:val="single" w:sz="4" w:space="0" w:color="F9A48A"/>
        <w:insideH w:val="single" w:sz="4" w:space="0" w:color="F9A48A"/>
        <w:insideV w:val="single" w:sz="4" w:space="0" w:color="F9A48A"/>
      </w:tblBorders>
    </w:tblPr>
    <w:tblStylePr w:type="firstRow">
      <w:rPr>
        <w:b/>
        <w:bCs/>
        <w:color w:val="FFFFFF"/>
      </w:rPr>
      <w:tblPr/>
      <w:tcPr>
        <w:tcBorders>
          <w:top w:val="single" w:sz="4" w:space="0" w:color="F5693D"/>
          <w:left w:val="single" w:sz="4" w:space="0" w:color="F5693D"/>
          <w:bottom w:val="single" w:sz="4" w:space="0" w:color="F5693D"/>
          <w:right w:val="single" w:sz="4" w:space="0" w:color="F5693D"/>
          <w:insideH w:val="nil"/>
          <w:insideV w:val="nil"/>
        </w:tcBorders>
        <w:shd w:val="clear" w:color="auto" w:fill="F5693D"/>
      </w:tcPr>
    </w:tblStylePr>
    <w:tblStylePr w:type="lastRow">
      <w:rPr>
        <w:b/>
        <w:bCs/>
      </w:rPr>
      <w:tblPr/>
      <w:tcPr>
        <w:tcBorders>
          <w:top w:val="double" w:sz="4" w:space="0" w:color="F5693D"/>
        </w:tcBorders>
      </w:tcPr>
    </w:tblStylePr>
    <w:tblStylePr w:type="firstCol">
      <w:rPr>
        <w:b/>
        <w:bCs/>
      </w:rPr>
    </w:tblStylePr>
    <w:tblStylePr w:type="lastCol">
      <w:rPr>
        <w:b/>
        <w:bCs/>
      </w:rPr>
    </w:tblStylePr>
    <w:tblStylePr w:type="band1Vert">
      <w:tblPr/>
      <w:tcPr>
        <w:shd w:val="clear" w:color="auto" w:fill="FDE0D8"/>
      </w:tcPr>
    </w:tblStylePr>
    <w:tblStylePr w:type="band1Horz">
      <w:tblPr/>
      <w:tcPr>
        <w:shd w:val="clear" w:color="auto" w:fill="FDE0D8"/>
      </w:tcPr>
    </w:tblStylePr>
  </w:style>
  <w:style w:type="table" w:customStyle="1" w:styleId="GridTable4-Accent41">
    <w:name w:val="Grid Table 4 - Accent 41"/>
    <w:basedOn w:val="TableNormal"/>
    <w:next w:val="GridTable4-Accent4"/>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6CCBF2"/>
        <w:left w:val="single" w:sz="4" w:space="0" w:color="6CCBF2"/>
        <w:bottom w:val="single" w:sz="4" w:space="0" w:color="6CCBF2"/>
        <w:right w:val="single" w:sz="4" w:space="0" w:color="6CCBF2"/>
        <w:insideH w:val="single" w:sz="4" w:space="0" w:color="6CCBF2"/>
        <w:insideV w:val="single" w:sz="4" w:space="0" w:color="6CCBF2"/>
      </w:tblBorders>
    </w:tblPr>
    <w:tblStylePr w:type="firstRow">
      <w:rPr>
        <w:b/>
        <w:bCs/>
        <w:color w:val="FFFFFF"/>
      </w:rPr>
      <w:tblPr/>
      <w:tcPr>
        <w:tcBorders>
          <w:top w:val="single" w:sz="4" w:space="0" w:color="14A6E1"/>
          <w:left w:val="single" w:sz="4" w:space="0" w:color="14A6E1"/>
          <w:bottom w:val="single" w:sz="4" w:space="0" w:color="14A6E1"/>
          <w:right w:val="single" w:sz="4" w:space="0" w:color="14A6E1"/>
          <w:insideH w:val="nil"/>
          <w:insideV w:val="nil"/>
        </w:tcBorders>
        <w:shd w:val="clear" w:color="auto" w:fill="14A6E1"/>
      </w:tcPr>
    </w:tblStylePr>
    <w:tblStylePr w:type="lastRow">
      <w:rPr>
        <w:b/>
        <w:bCs/>
      </w:rPr>
      <w:tblPr/>
      <w:tcPr>
        <w:tcBorders>
          <w:top w:val="double" w:sz="4" w:space="0" w:color="14A6E1"/>
        </w:tcBorders>
      </w:tcPr>
    </w:tblStylePr>
    <w:tblStylePr w:type="firstCol">
      <w:rPr>
        <w:b/>
        <w:bCs/>
      </w:rPr>
    </w:tblStylePr>
    <w:tblStylePr w:type="lastCol">
      <w:rPr>
        <w:b/>
        <w:bCs/>
      </w:rPr>
    </w:tblStylePr>
    <w:tblStylePr w:type="band1Vert">
      <w:tblPr/>
      <w:tcPr>
        <w:shd w:val="clear" w:color="auto" w:fill="CEEDFA"/>
      </w:tcPr>
    </w:tblStylePr>
    <w:tblStylePr w:type="band1Horz">
      <w:tblPr/>
      <w:tcPr>
        <w:shd w:val="clear" w:color="auto" w:fill="CEEDFA"/>
      </w:tcPr>
    </w:tblStylePr>
  </w:style>
  <w:style w:type="table" w:customStyle="1" w:styleId="GridTable4-Accent51">
    <w:name w:val="Grid Table 4 - Accent 51"/>
    <w:basedOn w:val="TableNormal"/>
    <w:next w:val="GridTable4-Accent5"/>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5D9FDB"/>
        <w:left w:val="single" w:sz="4" w:space="0" w:color="5D9FDB"/>
        <w:bottom w:val="single" w:sz="4" w:space="0" w:color="5D9FDB"/>
        <w:right w:val="single" w:sz="4" w:space="0" w:color="5D9FDB"/>
        <w:insideH w:val="single" w:sz="4" w:space="0" w:color="5D9FDB"/>
        <w:insideV w:val="single" w:sz="4" w:space="0" w:color="5D9FDB"/>
      </w:tblBorders>
    </w:tblPr>
    <w:tblStylePr w:type="firstRow">
      <w:rPr>
        <w:b/>
        <w:bCs/>
        <w:color w:val="FFFFFF"/>
      </w:rPr>
      <w:tblPr/>
      <w:tcPr>
        <w:tcBorders>
          <w:top w:val="single" w:sz="4" w:space="0" w:color="215E94"/>
          <w:left w:val="single" w:sz="4" w:space="0" w:color="215E94"/>
          <w:bottom w:val="single" w:sz="4" w:space="0" w:color="215E94"/>
          <w:right w:val="single" w:sz="4" w:space="0" w:color="215E94"/>
          <w:insideH w:val="nil"/>
          <w:insideV w:val="nil"/>
        </w:tcBorders>
        <w:shd w:val="clear" w:color="auto" w:fill="215E94"/>
      </w:tcPr>
    </w:tblStylePr>
    <w:tblStylePr w:type="lastRow">
      <w:rPr>
        <w:b/>
        <w:bCs/>
      </w:rPr>
      <w:tblPr/>
      <w:tcPr>
        <w:tcBorders>
          <w:top w:val="double" w:sz="4" w:space="0" w:color="215E94"/>
        </w:tcBorders>
      </w:tcPr>
    </w:tblStylePr>
    <w:tblStylePr w:type="firstCol">
      <w:rPr>
        <w:b/>
        <w:bCs/>
      </w:rPr>
    </w:tblStylePr>
    <w:tblStylePr w:type="lastCol">
      <w:rPr>
        <w:b/>
        <w:bCs/>
      </w:rPr>
    </w:tblStylePr>
    <w:tblStylePr w:type="band1Vert">
      <w:tblPr/>
      <w:tcPr>
        <w:shd w:val="clear" w:color="auto" w:fill="C9DFF3"/>
      </w:tcPr>
    </w:tblStylePr>
    <w:tblStylePr w:type="band1Horz">
      <w:tblPr/>
      <w:tcPr>
        <w:shd w:val="clear" w:color="auto" w:fill="C9DFF3"/>
      </w:tcPr>
    </w:tblStylePr>
  </w:style>
  <w:style w:type="table" w:customStyle="1" w:styleId="GridTable4-Accent61">
    <w:name w:val="Grid Table 4 - Accent 61"/>
    <w:basedOn w:val="TableNormal"/>
    <w:next w:val="GridTable4-Accent6"/>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E18E"/>
        <w:left w:val="single" w:sz="4" w:space="0" w:color="FFE18E"/>
        <w:bottom w:val="single" w:sz="4" w:space="0" w:color="FFE18E"/>
        <w:right w:val="single" w:sz="4" w:space="0" w:color="FFE18E"/>
        <w:insideH w:val="single" w:sz="4" w:space="0" w:color="FFE18E"/>
        <w:insideV w:val="single" w:sz="4" w:space="0" w:color="FFE18E"/>
      </w:tblBorders>
    </w:tblPr>
    <w:tblStylePr w:type="firstRow">
      <w:rPr>
        <w:b/>
        <w:bCs/>
        <w:color w:val="FFFFFF"/>
      </w:rPr>
      <w:tblPr/>
      <w:tcPr>
        <w:tcBorders>
          <w:top w:val="single" w:sz="4" w:space="0" w:color="FFCE43"/>
          <w:left w:val="single" w:sz="4" w:space="0" w:color="FFCE43"/>
          <w:bottom w:val="single" w:sz="4" w:space="0" w:color="FFCE43"/>
          <w:right w:val="single" w:sz="4" w:space="0" w:color="FFCE43"/>
          <w:insideH w:val="nil"/>
          <w:insideV w:val="nil"/>
        </w:tcBorders>
        <w:shd w:val="clear" w:color="auto" w:fill="FFCE43"/>
      </w:tcPr>
    </w:tblStylePr>
    <w:tblStylePr w:type="lastRow">
      <w:rPr>
        <w:b/>
        <w:bCs/>
      </w:rPr>
      <w:tblPr/>
      <w:tcPr>
        <w:tcBorders>
          <w:top w:val="double" w:sz="4" w:space="0" w:color="FFCE43"/>
        </w:tcBorders>
      </w:tcPr>
    </w:tblStylePr>
    <w:tblStylePr w:type="firstCol">
      <w:rPr>
        <w:b/>
        <w:bCs/>
      </w:rPr>
    </w:tblStylePr>
    <w:tblStylePr w:type="lastCol">
      <w:rPr>
        <w:b/>
        <w:bCs/>
      </w:rPr>
    </w:tblStylePr>
    <w:tblStylePr w:type="band1Vert">
      <w:tblPr/>
      <w:tcPr>
        <w:shd w:val="clear" w:color="auto" w:fill="FFF5D9"/>
      </w:tcPr>
    </w:tblStylePr>
    <w:tblStylePr w:type="band1Horz">
      <w:tblPr/>
      <w:tcPr>
        <w:shd w:val="clear" w:color="auto" w:fill="FFF5D9"/>
      </w:tcPr>
    </w:tblStylePr>
  </w:style>
  <w:style w:type="table" w:customStyle="1" w:styleId="GridTable5Dark1">
    <w:name w:val="Grid Table 5 Dark1"/>
    <w:basedOn w:val="TableNormal"/>
    <w:next w:val="GridTable5Dark"/>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4E1E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A6DB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A6DB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A6DB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A6DB2"/>
      </w:tcPr>
    </w:tblStylePr>
    <w:tblStylePr w:type="band1Vert">
      <w:tblPr/>
      <w:tcPr>
        <w:shd w:val="clear" w:color="auto" w:fill="C9C4E0"/>
      </w:tcPr>
    </w:tblStylePr>
    <w:tblStylePr w:type="band1Horz">
      <w:tblPr/>
      <w:tcPr>
        <w:shd w:val="clear" w:color="auto" w:fill="C9C4E0"/>
      </w:tcPr>
    </w:tblStylePr>
  </w:style>
  <w:style w:type="table" w:customStyle="1" w:styleId="GridTable5Dark-Accent21">
    <w:name w:val="Grid Table 5 Dark - Accent 21"/>
    <w:basedOn w:val="TableNormal"/>
    <w:next w:val="GridTable5Dark-Accent2"/>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6F6D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8A45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8A45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8A45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8A453"/>
      </w:tcPr>
    </w:tblStylePr>
    <w:tblStylePr w:type="band1Vert">
      <w:tblPr/>
      <w:tcPr>
        <w:shd w:val="clear" w:color="auto" w:fill="8EEEB6"/>
      </w:tcPr>
    </w:tblStylePr>
    <w:tblStylePr w:type="band1Horz">
      <w:tblPr/>
      <w:tcPr>
        <w:shd w:val="clear" w:color="auto" w:fill="8EEEB6"/>
      </w:tcPr>
    </w:tblStylePr>
  </w:style>
  <w:style w:type="table" w:customStyle="1" w:styleId="GridTable5Dark-Accent31">
    <w:name w:val="Grid Table 5 Dark - Accent 31"/>
    <w:basedOn w:val="TableNormal"/>
    <w:next w:val="GridTable5Dark-Accent3"/>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0D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5693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5693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5693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5693D"/>
      </w:tcPr>
    </w:tblStylePr>
    <w:tblStylePr w:type="band1Vert">
      <w:tblPr/>
      <w:tcPr>
        <w:shd w:val="clear" w:color="auto" w:fill="FBC2B1"/>
      </w:tcPr>
    </w:tblStylePr>
    <w:tblStylePr w:type="band1Horz">
      <w:tblPr/>
      <w:tcPr>
        <w:shd w:val="clear" w:color="auto" w:fill="FBC2B1"/>
      </w:tcPr>
    </w:tblStylePr>
  </w:style>
  <w:style w:type="table" w:customStyle="1" w:styleId="GridTable5Dark-Accent41">
    <w:name w:val="Grid Table 5 Dark - Accent 41"/>
    <w:basedOn w:val="TableNormal"/>
    <w:next w:val="GridTable5Dark-Accent4"/>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EEDFA"/>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4A6E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4A6E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4A6E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4A6E1"/>
      </w:tcPr>
    </w:tblStylePr>
    <w:tblStylePr w:type="band1Vert">
      <w:tblPr/>
      <w:tcPr>
        <w:shd w:val="clear" w:color="auto" w:fill="9DDCF6"/>
      </w:tcPr>
    </w:tblStylePr>
    <w:tblStylePr w:type="band1Horz">
      <w:tblPr/>
      <w:tcPr>
        <w:shd w:val="clear" w:color="auto" w:fill="9DDCF6"/>
      </w:tcPr>
    </w:tblStylePr>
  </w:style>
  <w:style w:type="table" w:customStyle="1" w:styleId="GridTable5Dark-Accent51">
    <w:name w:val="Grid Table 5 Dark - Accent 51"/>
    <w:basedOn w:val="TableNormal"/>
    <w:next w:val="GridTable5Dark-Accent5"/>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9DF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15E9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15E9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15E9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15E94"/>
      </w:tcPr>
    </w:tblStylePr>
    <w:tblStylePr w:type="band1Vert">
      <w:tblPr/>
      <w:tcPr>
        <w:shd w:val="clear" w:color="auto" w:fill="93BFE7"/>
      </w:tcPr>
    </w:tblStylePr>
    <w:tblStylePr w:type="band1Horz">
      <w:tblPr/>
      <w:tcPr>
        <w:shd w:val="clear" w:color="auto" w:fill="93BFE7"/>
      </w:tcPr>
    </w:tblStylePr>
  </w:style>
  <w:style w:type="table" w:customStyle="1" w:styleId="GridTable5Dark-Accent61">
    <w:name w:val="Grid Table 5 Dark - Accent 61"/>
    <w:basedOn w:val="TableNormal"/>
    <w:next w:val="GridTable5Dark-Accent6"/>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5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E4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E4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E4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E43"/>
      </w:tcPr>
    </w:tblStylePr>
    <w:tblStylePr w:type="band1Vert">
      <w:tblPr/>
      <w:tcPr>
        <w:shd w:val="clear" w:color="auto" w:fill="FFEBB3"/>
      </w:tcPr>
    </w:tblStylePr>
    <w:tblStylePr w:type="band1Horz">
      <w:tblPr/>
      <w:tcPr>
        <w:shd w:val="clear" w:color="auto" w:fill="FFEBB3"/>
      </w:tcPr>
    </w:tblStylePr>
  </w:style>
  <w:style w:type="table" w:customStyle="1" w:styleId="GridTable6Colorful1">
    <w:name w:val="Grid Table 6 Colorful1"/>
    <w:basedOn w:val="TableNormal"/>
    <w:next w:val="GridTable6Colorful"/>
    <w:rsid w:val="0057062A"/>
    <w:pPr>
      <w:spacing w:before="240"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rsid w:val="0057062A"/>
    <w:pPr>
      <w:spacing w:before="240" w:after="0" w:line="240" w:lineRule="auto"/>
    </w:pPr>
    <w:rPr>
      <w:rFonts w:ascii="EC Square Sans Pro" w:eastAsia="Times New Roman" w:hAnsi="EC Square Sans Pro" w:cs="Times New Roman"/>
      <w:color w:val="564A8C"/>
      <w:kern w:val="0"/>
      <w:sz w:val="20"/>
      <w:szCs w:val="20"/>
      <w:lang w:val="en-GB" w:eastAsia="en-GB"/>
      <w14:ligatures w14:val="none"/>
    </w:rPr>
    <w:tblPr>
      <w:tblStyleRowBandSize w:val="1"/>
      <w:tblStyleColBandSize w:val="1"/>
      <w:tblBorders>
        <w:top w:val="single" w:sz="4" w:space="0" w:color="AFA7D0"/>
        <w:left w:val="single" w:sz="4" w:space="0" w:color="AFA7D0"/>
        <w:bottom w:val="single" w:sz="4" w:space="0" w:color="AFA7D0"/>
        <w:right w:val="single" w:sz="4" w:space="0" w:color="AFA7D0"/>
        <w:insideH w:val="single" w:sz="4" w:space="0" w:color="AFA7D0"/>
        <w:insideV w:val="single" w:sz="4" w:space="0" w:color="AFA7D0"/>
      </w:tblBorders>
    </w:tblPr>
    <w:tblStylePr w:type="firstRow">
      <w:rPr>
        <w:b/>
        <w:bCs/>
      </w:rPr>
      <w:tblPr/>
      <w:tcPr>
        <w:tcBorders>
          <w:bottom w:val="single" w:sz="12" w:space="0" w:color="AFA7D0"/>
        </w:tcBorders>
      </w:tcPr>
    </w:tblStylePr>
    <w:tblStylePr w:type="lastRow">
      <w:rPr>
        <w:b/>
        <w:bCs/>
      </w:rPr>
      <w:tblPr/>
      <w:tcPr>
        <w:tcBorders>
          <w:top w:val="double" w:sz="4" w:space="0" w:color="AFA7D0"/>
        </w:tcBorders>
      </w:tcPr>
    </w:tblStylePr>
    <w:tblStylePr w:type="firstCol">
      <w:rPr>
        <w:b/>
        <w:bCs/>
      </w:rPr>
    </w:tblStylePr>
    <w:tblStylePr w:type="lastCol">
      <w:rPr>
        <w:b/>
        <w:bCs/>
      </w:rPr>
    </w:tblStylePr>
    <w:tblStylePr w:type="band1Vert">
      <w:tblPr/>
      <w:tcPr>
        <w:shd w:val="clear" w:color="auto" w:fill="E4E1EF"/>
      </w:tcPr>
    </w:tblStylePr>
    <w:tblStylePr w:type="band1Horz">
      <w:tblPr/>
      <w:tcPr>
        <w:shd w:val="clear" w:color="auto" w:fill="E4E1EF"/>
      </w:tcPr>
    </w:tblStylePr>
  </w:style>
  <w:style w:type="table" w:customStyle="1" w:styleId="GridTable6Colorful-Accent21">
    <w:name w:val="Grid Table 6 Colorful - Accent 21"/>
    <w:basedOn w:val="TableNormal"/>
    <w:next w:val="GridTable6Colorful-Accent2"/>
    <w:rsid w:val="0057062A"/>
    <w:pPr>
      <w:spacing w:before="240" w:after="0" w:line="240" w:lineRule="auto"/>
    </w:pPr>
    <w:rPr>
      <w:rFonts w:ascii="EC Square Sans Pro" w:eastAsia="Times New Roman" w:hAnsi="EC Square Sans Pro" w:cs="Times New Roman"/>
      <w:color w:val="127A3D"/>
      <w:kern w:val="0"/>
      <w:sz w:val="20"/>
      <w:szCs w:val="20"/>
      <w:lang w:val="en-GB" w:eastAsia="en-GB"/>
      <w14:ligatures w14:val="none"/>
    </w:rPr>
    <w:tblPr>
      <w:tblStyleRowBandSize w:val="1"/>
      <w:tblStyleColBandSize w:val="1"/>
      <w:tblBorders>
        <w:top w:val="single" w:sz="4" w:space="0" w:color="56E692"/>
        <w:left w:val="single" w:sz="4" w:space="0" w:color="56E692"/>
        <w:bottom w:val="single" w:sz="4" w:space="0" w:color="56E692"/>
        <w:right w:val="single" w:sz="4" w:space="0" w:color="56E692"/>
        <w:insideH w:val="single" w:sz="4" w:space="0" w:color="56E692"/>
        <w:insideV w:val="single" w:sz="4" w:space="0" w:color="56E692"/>
      </w:tblBorders>
    </w:tblPr>
    <w:tblStylePr w:type="firstRow">
      <w:rPr>
        <w:b/>
        <w:bCs/>
      </w:rPr>
      <w:tblPr/>
      <w:tcPr>
        <w:tcBorders>
          <w:bottom w:val="single" w:sz="12" w:space="0" w:color="56E692"/>
        </w:tcBorders>
      </w:tcPr>
    </w:tblStylePr>
    <w:tblStylePr w:type="lastRow">
      <w:rPr>
        <w:b/>
        <w:bCs/>
      </w:rPr>
      <w:tblPr/>
      <w:tcPr>
        <w:tcBorders>
          <w:top w:val="double" w:sz="4" w:space="0" w:color="56E692"/>
        </w:tcBorders>
      </w:tcPr>
    </w:tblStylePr>
    <w:tblStylePr w:type="firstCol">
      <w:rPr>
        <w:b/>
        <w:bCs/>
      </w:rPr>
    </w:tblStylePr>
    <w:tblStylePr w:type="lastCol">
      <w:rPr>
        <w:b/>
        <w:bCs/>
      </w:rPr>
    </w:tblStylePr>
    <w:tblStylePr w:type="band1Vert">
      <w:tblPr/>
      <w:tcPr>
        <w:shd w:val="clear" w:color="auto" w:fill="C6F6DA"/>
      </w:tcPr>
    </w:tblStylePr>
    <w:tblStylePr w:type="band1Horz">
      <w:tblPr/>
      <w:tcPr>
        <w:shd w:val="clear" w:color="auto" w:fill="C6F6DA"/>
      </w:tcPr>
    </w:tblStylePr>
  </w:style>
  <w:style w:type="table" w:customStyle="1" w:styleId="GridTable6Colorful-Accent31">
    <w:name w:val="Grid Table 6 Colorful - Accent 31"/>
    <w:basedOn w:val="TableNormal"/>
    <w:next w:val="GridTable6Colorful-Accent3"/>
    <w:rsid w:val="0057062A"/>
    <w:pPr>
      <w:spacing w:before="240" w:after="0" w:line="240" w:lineRule="auto"/>
    </w:pPr>
    <w:rPr>
      <w:rFonts w:ascii="EC Square Sans Pro" w:eastAsia="Times New Roman" w:hAnsi="EC Square Sans Pro" w:cs="Times New Roman"/>
      <w:color w:val="D93B0B"/>
      <w:kern w:val="0"/>
      <w:sz w:val="20"/>
      <w:szCs w:val="20"/>
      <w:lang w:val="en-GB" w:eastAsia="en-GB"/>
      <w14:ligatures w14:val="none"/>
    </w:rPr>
    <w:tblPr>
      <w:tblStyleRowBandSize w:val="1"/>
      <w:tblStyleColBandSize w:val="1"/>
      <w:tblBorders>
        <w:top w:val="single" w:sz="4" w:space="0" w:color="F9A48A"/>
        <w:left w:val="single" w:sz="4" w:space="0" w:color="F9A48A"/>
        <w:bottom w:val="single" w:sz="4" w:space="0" w:color="F9A48A"/>
        <w:right w:val="single" w:sz="4" w:space="0" w:color="F9A48A"/>
        <w:insideH w:val="single" w:sz="4" w:space="0" w:color="F9A48A"/>
        <w:insideV w:val="single" w:sz="4" w:space="0" w:color="F9A48A"/>
      </w:tblBorders>
    </w:tblPr>
    <w:tblStylePr w:type="firstRow">
      <w:rPr>
        <w:b/>
        <w:bCs/>
      </w:rPr>
      <w:tblPr/>
      <w:tcPr>
        <w:tcBorders>
          <w:bottom w:val="single" w:sz="12" w:space="0" w:color="F9A48A"/>
        </w:tcBorders>
      </w:tcPr>
    </w:tblStylePr>
    <w:tblStylePr w:type="lastRow">
      <w:rPr>
        <w:b/>
        <w:bCs/>
      </w:rPr>
      <w:tblPr/>
      <w:tcPr>
        <w:tcBorders>
          <w:top w:val="double" w:sz="4" w:space="0" w:color="F9A48A"/>
        </w:tcBorders>
      </w:tcPr>
    </w:tblStylePr>
    <w:tblStylePr w:type="firstCol">
      <w:rPr>
        <w:b/>
        <w:bCs/>
      </w:rPr>
    </w:tblStylePr>
    <w:tblStylePr w:type="lastCol">
      <w:rPr>
        <w:b/>
        <w:bCs/>
      </w:rPr>
    </w:tblStylePr>
    <w:tblStylePr w:type="band1Vert">
      <w:tblPr/>
      <w:tcPr>
        <w:shd w:val="clear" w:color="auto" w:fill="FDE0D8"/>
      </w:tcPr>
    </w:tblStylePr>
    <w:tblStylePr w:type="band1Horz">
      <w:tblPr/>
      <w:tcPr>
        <w:shd w:val="clear" w:color="auto" w:fill="FDE0D8"/>
      </w:tcPr>
    </w:tblStylePr>
  </w:style>
  <w:style w:type="table" w:customStyle="1" w:styleId="GridTable6Colorful-Accent41">
    <w:name w:val="Grid Table 6 Colorful - Accent 41"/>
    <w:basedOn w:val="TableNormal"/>
    <w:next w:val="GridTable6Colorful-Accent4"/>
    <w:rsid w:val="0057062A"/>
    <w:pPr>
      <w:spacing w:before="240" w:after="0" w:line="240" w:lineRule="auto"/>
    </w:pPr>
    <w:rPr>
      <w:rFonts w:ascii="EC Square Sans Pro" w:eastAsia="Times New Roman" w:hAnsi="EC Square Sans Pro" w:cs="Times New Roman"/>
      <w:color w:val="0F7BA8"/>
      <w:kern w:val="0"/>
      <w:sz w:val="20"/>
      <w:szCs w:val="20"/>
      <w:lang w:val="en-GB" w:eastAsia="en-GB"/>
      <w14:ligatures w14:val="none"/>
    </w:rPr>
    <w:tblPr>
      <w:tblStyleRowBandSize w:val="1"/>
      <w:tblStyleColBandSize w:val="1"/>
      <w:tblBorders>
        <w:top w:val="single" w:sz="4" w:space="0" w:color="6CCBF2"/>
        <w:left w:val="single" w:sz="4" w:space="0" w:color="6CCBF2"/>
        <w:bottom w:val="single" w:sz="4" w:space="0" w:color="6CCBF2"/>
        <w:right w:val="single" w:sz="4" w:space="0" w:color="6CCBF2"/>
        <w:insideH w:val="single" w:sz="4" w:space="0" w:color="6CCBF2"/>
        <w:insideV w:val="single" w:sz="4" w:space="0" w:color="6CCBF2"/>
      </w:tblBorders>
    </w:tblPr>
    <w:tblStylePr w:type="firstRow">
      <w:rPr>
        <w:b/>
        <w:bCs/>
      </w:rPr>
      <w:tblPr/>
      <w:tcPr>
        <w:tcBorders>
          <w:bottom w:val="single" w:sz="12" w:space="0" w:color="6CCBF2"/>
        </w:tcBorders>
      </w:tcPr>
    </w:tblStylePr>
    <w:tblStylePr w:type="lastRow">
      <w:rPr>
        <w:b/>
        <w:bCs/>
      </w:rPr>
      <w:tblPr/>
      <w:tcPr>
        <w:tcBorders>
          <w:top w:val="double" w:sz="4" w:space="0" w:color="6CCBF2"/>
        </w:tcBorders>
      </w:tcPr>
    </w:tblStylePr>
    <w:tblStylePr w:type="firstCol">
      <w:rPr>
        <w:b/>
        <w:bCs/>
      </w:rPr>
    </w:tblStylePr>
    <w:tblStylePr w:type="lastCol">
      <w:rPr>
        <w:b/>
        <w:bCs/>
      </w:rPr>
    </w:tblStylePr>
    <w:tblStylePr w:type="band1Vert">
      <w:tblPr/>
      <w:tcPr>
        <w:shd w:val="clear" w:color="auto" w:fill="CEEDFA"/>
      </w:tcPr>
    </w:tblStylePr>
    <w:tblStylePr w:type="band1Horz">
      <w:tblPr/>
      <w:tcPr>
        <w:shd w:val="clear" w:color="auto" w:fill="CEEDFA"/>
      </w:tcPr>
    </w:tblStylePr>
  </w:style>
  <w:style w:type="table" w:customStyle="1" w:styleId="GridTable6Colorful-Accent51">
    <w:name w:val="Grid Table 6 Colorful - Accent 51"/>
    <w:basedOn w:val="TableNormal"/>
    <w:next w:val="GridTable6Colorful-Accent5"/>
    <w:rsid w:val="0057062A"/>
    <w:pPr>
      <w:spacing w:before="240" w:after="0" w:line="240" w:lineRule="auto"/>
    </w:pPr>
    <w:rPr>
      <w:rFonts w:ascii="EC Square Sans Pro" w:eastAsia="Times New Roman" w:hAnsi="EC Square Sans Pro" w:cs="Times New Roman"/>
      <w:color w:val="18466E"/>
      <w:kern w:val="0"/>
      <w:sz w:val="20"/>
      <w:szCs w:val="20"/>
      <w:lang w:val="en-GB" w:eastAsia="en-GB"/>
      <w14:ligatures w14:val="none"/>
    </w:rPr>
    <w:tblPr>
      <w:tblStyleRowBandSize w:val="1"/>
      <w:tblStyleColBandSize w:val="1"/>
      <w:tblBorders>
        <w:top w:val="single" w:sz="4" w:space="0" w:color="5D9FDB"/>
        <w:left w:val="single" w:sz="4" w:space="0" w:color="5D9FDB"/>
        <w:bottom w:val="single" w:sz="4" w:space="0" w:color="5D9FDB"/>
        <w:right w:val="single" w:sz="4" w:space="0" w:color="5D9FDB"/>
        <w:insideH w:val="single" w:sz="4" w:space="0" w:color="5D9FDB"/>
        <w:insideV w:val="single" w:sz="4" w:space="0" w:color="5D9FDB"/>
      </w:tblBorders>
    </w:tblPr>
    <w:tblStylePr w:type="firstRow">
      <w:rPr>
        <w:b/>
        <w:bCs/>
      </w:rPr>
      <w:tblPr/>
      <w:tcPr>
        <w:tcBorders>
          <w:bottom w:val="single" w:sz="12" w:space="0" w:color="5D9FDB"/>
        </w:tcBorders>
      </w:tcPr>
    </w:tblStylePr>
    <w:tblStylePr w:type="lastRow">
      <w:rPr>
        <w:b/>
        <w:bCs/>
      </w:rPr>
      <w:tblPr/>
      <w:tcPr>
        <w:tcBorders>
          <w:top w:val="double" w:sz="4" w:space="0" w:color="5D9FDB"/>
        </w:tcBorders>
      </w:tcPr>
    </w:tblStylePr>
    <w:tblStylePr w:type="firstCol">
      <w:rPr>
        <w:b/>
        <w:bCs/>
      </w:rPr>
    </w:tblStylePr>
    <w:tblStylePr w:type="lastCol">
      <w:rPr>
        <w:b/>
        <w:bCs/>
      </w:rPr>
    </w:tblStylePr>
    <w:tblStylePr w:type="band1Vert">
      <w:tblPr/>
      <w:tcPr>
        <w:shd w:val="clear" w:color="auto" w:fill="C9DFF3"/>
      </w:tcPr>
    </w:tblStylePr>
    <w:tblStylePr w:type="band1Horz">
      <w:tblPr/>
      <w:tcPr>
        <w:shd w:val="clear" w:color="auto" w:fill="C9DFF3"/>
      </w:tcPr>
    </w:tblStylePr>
  </w:style>
  <w:style w:type="table" w:customStyle="1" w:styleId="GridTable6Colorful-Accent61">
    <w:name w:val="Grid Table 6 Colorful - Accent 61"/>
    <w:basedOn w:val="TableNormal"/>
    <w:next w:val="GridTable6Colorful-Accent6"/>
    <w:rsid w:val="0057062A"/>
    <w:pPr>
      <w:spacing w:before="240" w:after="0" w:line="240" w:lineRule="auto"/>
    </w:pPr>
    <w:rPr>
      <w:rFonts w:ascii="EC Square Sans Pro" w:eastAsia="Times New Roman" w:hAnsi="EC Square Sans Pro" w:cs="Times New Roman"/>
      <w:color w:val="F1B100"/>
      <w:kern w:val="0"/>
      <w:sz w:val="20"/>
      <w:szCs w:val="20"/>
      <w:lang w:val="en-GB" w:eastAsia="en-GB"/>
      <w14:ligatures w14:val="none"/>
    </w:rPr>
    <w:tblPr>
      <w:tblStyleRowBandSize w:val="1"/>
      <w:tblStyleColBandSize w:val="1"/>
      <w:tblBorders>
        <w:top w:val="single" w:sz="4" w:space="0" w:color="FFE18E"/>
        <w:left w:val="single" w:sz="4" w:space="0" w:color="FFE18E"/>
        <w:bottom w:val="single" w:sz="4" w:space="0" w:color="FFE18E"/>
        <w:right w:val="single" w:sz="4" w:space="0" w:color="FFE18E"/>
        <w:insideH w:val="single" w:sz="4" w:space="0" w:color="FFE18E"/>
        <w:insideV w:val="single" w:sz="4" w:space="0" w:color="FFE18E"/>
      </w:tblBorders>
    </w:tblPr>
    <w:tblStylePr w:type="firstRow">
      <w:rPr>
        <w:b/>
        <w:bCs/>
      </w:rPr>
      <w:tblPr/>
      <w:tcPr>
        <w:tcBorders>
          <w:bottom w:val="single" w:sz="12" w:space="0" w:color="FFE18E"/>
        </w:tcBorders>
      </w:tcPr>
    </w:tblStylePr>
    <w:tblStylePr w:type="lastRow">
      <w:rPr>
        <w:b/>
        <w:bCs/>
      </w:rPr>
      <w:tblPr/>
      <w:tcPr>
        <w:tcBorders>
          <w:top w:val="double" w:sz="4" w:space="0" w:color="FFE18E"/>
        </w:tcBorders>
      </w:tcPr>
    </w:tblStylePr>
    <w:tblStylePr w:type="firstCol">
      <w:rPr>
        <w:b/>
        <w:bCs/>
      </w:rPr>
    </w:tblStylePr>
    <w:tblStylePr w:type="lastCol">
      <w:rPr>
        <w:b/>
        <w:bCs/>
      </w:rPr>
    </w:tblStylePr>
    <w:tblStylePr w:type="band1Vert">
      <w:tblPr/>
      <w:tcPr>
        <w:shd w:val="clear" w:color="auto" w:fill="FFF5D9"/>
      </w:tcPr>
    </w:tblStylePr>
    <w:tblStylePr w:type="band1Horz">
      <w:tblPr/>
      <w:tcPr>
        <w:shd w:val="clear" w:color="auto" w:fill="FFF5D9"/>
      </w:tcPr>
    </w:tblStylePr>
  </w:style>
  <w:style w:type="table" w:customStyle="1" w:styleId="GridTable7Colorful1">
    <w:name w:val="Grid Table 7 Colorful1"/>
    <w:basedOn w:val="TableNormal"/>
    <w:next w:val="GridTable7Colorful"/>
    <w:rsid w:val="0057062A"/>
    <w:pPr>
      <w:spacing w:before="240"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rsid w:val="0057062A"/>
    <w:pPr>
      <w:spacing w:before="240" w:after="0" w:line="240" w:lineRule="auto"/>
    </w:pPr>
    <w:rPr>
      <w:rFonts w:ascii="EC Square Sans Pro" w:eastAsia="Times New Roman" w:hAnsi="EC Square Sans Pro" w:cs="Times New Roman"/>
      <w:color w:val="564A8C"/>
      <w:kern w:val="0"/>
      <w:sz w:val="20"/>
      <w:szCs w:val="20"/>
      <w:lang w:val="en-GB" w:eastAsia="en-GB"/>
      <w14:ligatures w14:val="none"/>
    </w:rPr>
    <w:tblPr>
      <w:tblStyleRowBandSize w:val="1"/>
      <w:tblStyleColBandSize w:val="1"/>
      <w:tblBorders>
        <w:top w:val="single" w:sz="4" w:space="0" w:color="AFA7D0"/>
        <w:left w:val="single" w:sz="4" w:space="0" w:color="AFA7D0"/>
        <w:bottom w:val="single" w:sz="4" w:space="0" w:color="AFA7D0"/>
        <w:right w:val="single" w:sz="4" w:space="0" w:color="AFA7D0"/>
        <w:insideH w:val="single" w:sz="4" w:space="0" w:color="AFA7D0"/>
        <w:insideV w:val="single" w:sz="4" w:space="0" w:color="AFA7D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4E1EF"/>
      </w:tcPr>
    </w:tblStylePr>
    <w:tblStylePr w:type="band1Horz">
      <w:tblPr/>
      <w:tcPr>
        <w:shd w:val="clear" w:color="auto" w:fill="E4E1EF"/>
      </w:tcPr>
    </w:tblStylePr>
    <w:tblStylePr w:type="neCell">
      <w:tblPr/>
      <w:tcPr>
        <w:tcBorders>
          <w:bottom w:val="single" w:sz="4" w:space="0" w:color="AFA7D0"/>
        </w:tcBorders>
      </w:tcPr>
    </w:tblStylePr>
    <w:tblStylePr w:type="nwCell">
      <w:tblPr/>
      <w:tcPr>
        <w:tcBorders>
          <w:bottom w:val="single" w:sz="4" w:space="0" w:color="AFA7D0"/>
        </w:tcBorders>
      </w:tcPr>
    </w:tblStylePr>
    <w:tblStylePr w:type="seCell">
      <w:tblPr/>
      <w:tcPr>
        <w:tcBorders>
          <w:top w:val="single" w:sz="4" w:space="0" w:color="AFA7D0"/>
        </w:tcBorders>
      </w:tcPr>
    </w:tblStylePr>
    <w:tblStylePr w:type="swCell">
      <w:tblPr/>
      <w:tcPr>
        <w:tcBorders>
          <w:top w:val="single" w:sz="4" w:space="0" w:color="AFA7D0"/>
        </w:tcBorders>
      </w:tcPr>
    </w:tblStylePr>
  </w:style>
  <w:style w:type="table" w:customStyle="1" w:styleId="GridTable7Colorful-Accent21">
    <w:name w:val="Grid Table 7 Colorful - Accent 21"/>
    <w:basedOn w:val="TableNormal"/>
    <w:next w:val="GridTable7Colorful-Accent2"/>
    <w:rsid w:val="0057062A"/>
    <w:pPr>
      <w:spacing w:before="240" w:after="0" w:line="240" w:lineRule="auto"/>
    </w:pPr>
    <w:rPr>
      <w:rFonts w:ascii="EC Square Sans Pro" w:eastAsia="Times New Roman" w:hAnsi="EC Square Sans Pro" w:cs="Times New Roman"/>
      <w:color w:val="127A3D"/>
      <w:kern w:val="0"/>
      <w:sz w:val="20"/>
      <w:szCs w:val="20"/>
      <w:lang w:val="en-GB" w:eastAsia="en-GB"/>
      <w14:ligatures w14:val="none"/>
    </w:rPr>
    <w:tblPr>
      <w:tblStyleRowBandSize w:val="1"/>
      <w:tblStyleColBandSize w:val="1"/>
      <w:tblBorders>
        <w:top w:val="single" w:sz="4" w:space="0" w:color="56E692"/>
        <w:left w:val="single" w:sz="4" w:space="0" w:color="56E692"/>
        <w:bottom w:val="single" w:sz="4" w:space="0" w:color="56E692"/>
        <w:right w:val="single" w:sz="4" w:space="0" w:color="56E692"/>
        <w:insideH w:val="single" w:sz="4" w:space="0" w:color="56E692"/>
        <w:insideV w:val="single" w:sz="4" w:space="0" w:color="56E692"/>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6F6DA"/>
      </w:tcPr>
    </w:tblStylePr>
    <w:tblStylePr w:type="band1Horz">
      <w:tblPr/>
      <w:tcPr>
        <w:shd w:val="clear" w:color="auto" w:fill="C6F6DA"/>
      </w:tcPr>
    </w:tblStylePr>
    <w:tblStylePr w:type="neCell">
      <w:tblPr/>
      <w:tcPr>
        <w:tcBorders>
          <w:bottom w:val="single" w:sz="4" w:space="0" w:color="56E692"/>
        </w:tcBorders>
      </w:tcPr>
    </w:tblStylePr>
    <w:tblStylePr w:type="nwCell">
      <w:tblPr/>
      <w:tcPr>
        <w:tcBorders>
          <w:bottom w:val="single" w:sz="4" w:space="0" w:color="56E692"/>
        </w:tcBorders>
      </w:tcPr>
    </w:tblStylePr>
    <w:tblStylePr w:type="seCell">
      <w:tblPr/>
      <w:tcPr>
        <w:tcBorders>
          <w:top w:val="single" w:sz="4" w:space="0" w:color="56E692"/>
        </w:tcBorders>
      </w:tcPr>
    </w:tblStylePr>
    <w:tblStylePr w:type="swCell">
      <w:tblPr/>
      <w:tcPr>
        <w:tcBorders>
          <w:top w:val="single" w:sz="4" w:space="0" w:color="56E692"/>
        </w:tcBorders>
      </w:tcPr>
    </w:tblStylePr>
  </w:style>
  <w:style w:type="table" w:customStyle="1" w:styleId="GridTable7Colorful-Accent31">
    <w:name w:val="Grid Table 7 Colorful - Accent 31"/>
    <w:basedOn w:val="TableNormal"/>
    <w:next w:val="GridTable7Colorful-Accent3"/>
    <w:rsid w:val="0057062A"/>
    <w:pPr>
      <w:spacing w:before="240" w:after="0" w:line="240" w:lineRule="auto"/>
    </w:pPr>
    <w:rPr>
      <w:rFonts w:ascii="EC Square Sans Pro" w:eastAsia="Times New Roman" w:hAnsi="EC Square Sans Pro" w:cs="Times New Roman"/>
      <w:color w:val="D93B0B"/>
      <w:kern w:val="0"/>
      <w:sz w:val="20"/>
      <w:szCs w:val="20"/>
      <w:lang w:val="en-GB" w:eastAsia="en-GB"/>
      <w14:ligatures w14:val="none"/>
    </w:rPr>
    <w:tblPr>
      <w:tblStyleRowBandSize w:val="1"/>
      <w:tblStyleColBandSize w:val="1"/>
      <w:tblBorders>
        <w:top w:val="single" w:sz="4" w:space="0" w:color="F9A48A"/>
        <w:left w:val="single" w:sz="4" w:space="0" w:color="F9A48A"/>
        <w:bottom w:val="single" w:sz="4" w:space="0" w:color="F9A48A"/>
        <w:right w:val="single" w:sz="4" w:space="0" w:color="F9A48A"/>
        <w:insideH w:val="single" w:sz="4" w:space="0" w:color="F9A48A"/>
        <w:insideV w:val="single" w:sz="4" w:space="0" w:color="F9A48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0D8"/>
      </w:tcPr>
    </w:tblStylePr>
    <w:tblStylePr w:type="band1Horz">
      <w:tblPr/>
      <w:tcPr>
        <w:shd w:val="clear" w:color="auto" w:fill="FDE0D8"/>
      </w:tcPr>
    </w:tblStylePr>
    <w:tblStylePr w:type="neCell">
      <w:tblPr/>
      <w:tcPr>
        <w:tcBorders>
          <w:bottom w:val="single" w:sz="4" w:space="0" w:color="F9A48A"/>
        </w:tcBorders>
      </w:tcPr>
    </w:tblStylePr>
    <w:tblStylePr w:type="nwCell">
      <w:tblPr/>
      <w:tcPr>
        <w:tcBorders>
          <w:bottom w:val="single" w:sz="4" w:space="0" w:color="F9A48A"/>
        </w:tcBorders>
      </w:tcPr>
    </w:tblStylePr>
    <w:tblStylePr w:type="seCell">
      <w:tblPr/>
      <w:tcPr>
        <w:tcBorders>
          <w:top w:val="single" w:sz="4" w:space="0" w:color="F9A48A"/>
        </w:tcBorders>
      </w:tcPr>
    </w:tblStylePr>
    <w:tblStylePr w:type="swCell">
      <w:tblPr/>
      <w:tcPr>
        <w:tcBorders>
          <w:top w:val="single" w:sz="4" w:space="0" w:color="F9A48A"/>
        </w:tcBorders>
      </w:tcPr>
    </w:tblStylePr>
  </w:style>
  <w:style w:type="table" w:customStyle="1" w:styleId="GridTable7Colorful-Accent41">
    <w:name w:val="Grid Table 7 Colorful - Accent 41"/>
    <w:basedOn w:val="TableNormal"/>
    <w:next w:val="GridTable7Colorful-Accent4"/>
    <w:rsid w:val="0057062A"/>
    <w:pPr>
      <w:spacing w:before="240" w:after="0" w:line="240" w:lineRule="auto"/>
    </w:pPr>
    <w:rPr>
      <w:rFonts w:ascii="EC Square Sans Pro" w:eastAsia="Times New Roman" w:hAnsi="EC Square Sans Pro" w:cs="Times New Roman"/>
      <w:color w:val="0F7BA8"/>
      <w:kern w:val="0"/>
      <w:sz w:val="20"/>
      <w:szCs w:val="20"/>
      <w:lang w:val="en-GB" w:eastAsia="en-GB"/>
      <w14:ligatures w14:val="none"/>
    </w:rPr>
    <w:tblPr>
      <w:tblStyleRowBandSize w:val="1"/>
      <w:tblStyleColBandSize w:val="1"/>
      <w:tblBorders>
        <w:top w:val="single" w:sz="4" w:space="0" w:color="6CCBF2"/>
        <w:left w:val="single" w:sz="4" w:space="0" w:color="6CCBF2"/>
        <w:bottom w:val="single" w:sz="4" w:space="0" w:color="6CCBF2"/>
        <w:right w:val="single" w:sz="4" w:space="0" w:color="6CCBF2"/>
        <w:insideH w:val="single" w:sz="4" w:space="0" w:color="6CCBF2"/>
        <w:insideV w:val="single" w:sz="4" w:space="0" w:color="6CCBF2"/>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EEDFA"/>
      </w:tcPr>
    </w:tblStylePr>
    <w:tblStylePr w:type="band1Horz">
      <w:tblPr/>
      <w:tcPr>
        <w:shd w:val="clear" w:color="auto" w:fill="CEEDFA"/>
      </w:tcPr>
    </w:tblStylePr>
    <w:tblStylePr w:type="neCell">
      <w:tblPr/>
      <w:tcPr>
        <w:tcBorders>
          <w:bottom w:val="single" w:sz="4" w:space="0" w:color="6CCBF2"/>
        </w:tcBorders>
      </w:tcPr>
    </w:tblStylePr>
    <w:tblStylePr w:type="nwCell">
      <w:tblPr/>
      <w:tcPr>
        <w:tcBorders>
          <w:bottom w:val="single" w:sz="4" w:space="0" w:color="6CCBF2"/>
        </w:tcBorders>
      </w:tcPr>
    </w:tblStylePr>
    <w:tblStylePr w:type="seCell">
      <w:tblPr/>
      <w:tcPr>
        <w:tcBorders>
          <w:top w:val="single" w:sz="4" w:space="0" w:color="6CCBF2"/>
        </w:tcBorders>
      </w:tcPr>
    </w:tblStylePr>
    <w:tblStylePr w:type="swCell">
      <w:tblPr/>
      <w:tcPr>
        <w:tcBorders>
          <w:top w:val="single" w:sz="4" w:space="0" w:color="6CCBF2"/>
        </w:tcBorders>
      </w:tcPr>
    </w:tblStylePr>
  </w:style>
  <w:style w:type="table" w:customStyle="1" w:styleId="GridTable7Colorful-Accent51">
    <w:name w:val="Grid Table 7 Colorful - Accent 51"/>
    <w:basedOn w:val="TableNormal"/>
    <w:next w:val="GridTable7Colorful-Accent5"/>
    <w:rsid w:val="0057062A"/>
    <w:pPr>
      <w:spacing w:before="240" w:after="0" w:line="240" w:lineRule="auto"/>
    </w:pPr>
    <w:rPr>
      <w:rFonts w:ascii="EC Square Sans Pro" w:eastAsia="Times New Roman" w:hAnsi="EC Square Sans Pro" w:cs="Times New Roman"/>
      <w:color w:val="18466E"/>
      <w:kern w:val="0"/>
      <w:sz w:val="20"/>
      <w:szCs w:val="20"/>
      <w:lang w:val="en-GB" w:eastAsia="en-GB"/>
      <w14:ligatures w14:val="none"/>
    </w:rPr>
    <w:tblPr>
      <w:tblStyleRowBandSize w:val="1"/>
      <w:tblStyleColBandSize w:val="1"/>
      <w:tblBorders>
        <w:top w:val="single" w:sz="4" w:space="0" w:color="5D9FDB"/>
        <w:left w:val="single" w:sz="4" w:space="0" w:color="5D9FDB"/>
        <w:bottom w:val="single" w:sz="4" w:space="0" w:color="5D9FDB"/>
        <w:right w:val="single" w:sz="4" w:space="0" w:color="5D9FDB"/>
        <w:insideH w:val="single" w:sz="4" w:space="0" w:color="5D9FDB"/>
        <w:insideV w:val="single" w:sz="4" w:space="0" w:color="5D9F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9DFF3"/>
      </w:tcPr>
    </w:tblStylePr>
    <w:tblStylePr w:type="band1Horz">
      <w:tblPr/>
      <w:tcPr>
        <w:shd w:val="clear" w:color="auto" w:fill="C9DFF3"/>
      </w:tcPr>
    </w:tblStylePr>
    <w:tblStylePr w:type="neCell">
      <w:tblPr/>
      <w:tcPr>
        <w:tcBorders>
          <w:bottom w:val="single" w:sz="4" w:space="0" w:color="5D9FDB"/>
        </w:tcBorders>
      </w:tcPr>
    </w:tblStylePr>
    <w:tblStylePr w:type="nwCell">
      <w:tblPr/>
      <w:tcPr>
        <w:tcBorders>
          <w:bottom w:val="single" w:sz="4" w:space="0" w:color="5D9FDB"/>
        </w:tcBorders>
      </w:tcPr>
    </w:tblStylePr>
    <w:tblStylePr w:type="seCell">
      <w:tblPr/>
      <w:tcPr>
        <w:tcBorders>
          <w:top w:val="single" w:sz="4" w:space="0" w:color="5D9FDB"/>
        </w:tcBorders>
      </w:tcPr>
    </w:tblStylePr>
    <w:tblStylePr w:type="swCell">
      <w:tblPr/>
      <w:tcPr>
        <w:tcBorders>
          <w:top w:val="single" w:sz="4" w:space="0" w:color="5D9FDB"/>
        </w:tcBorders>
      </w:tcPr>
    </w:tblStylePr>
  </w:style>
  <w:style w:type="table" w:customStyle="1" w:styleId="GridTable7Colorful-Accent61">
    <w:name w:val="Grid Table 7 Colorful - Accent 61"/>
    <w:basedOn w:val="TableNormal"/>
    <w:next w:val="GridTable7Colorful-Accent6"/>
    <w:rsid w:val="0057062A"/>
    <w:pPr>
      <w:spacing w:before="240" w:after="0" w:line="240" w:lineRule="auto"/>
    </w:pPr>
    <w:rPr>
      <w:rFonts w:ascii="EC Square Sans Pro" w:eastAsia="Times New Roman" w:hAnsi="EC Square Sans Pro" w:cs="Times New Roman"/>
      <w:color w:val="F1B100"/>
      <w:kern w:val="0"/>
      <w:sz w:val="20"/>
      <w:szCs w:val="20"/>
      <w:lang w:val="en-GB" w:eastAsia="en-GB"/>
      <w14:ligatures w14:val="none"/>
    </w:rPr>
    <w:tblPr>
      <w:tblStyleRowBandSize w:val="1"/>
      <w:tblStyleColBandSize w:val="1"/>
      <w:tblBorders>
        <w:top w:val="single" w:sz="4" w:space="0" w:color="FFE18E"/>
        <w:left w:val="single" w:sz="4" w:space="0" w:color="FFE18E"/>
        <w:bottom w:val="single" w:sz="4" w:space="0" w:color="FFE18E"/>
        <w:right w:val="single" w:sz="4" w:space="0" w:color="FFE18E"/>
        <w:insideH w:val="single" w:sz="4" w:space="0" w:color="FFE18E"/>
        <w:insideV w:val="single" w:sz="4" w:space="0" w:color="FFE18E"/>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5D9"/>
      </w:tcPr>
    </w:tblStylePr>
    <w:tblStylePr w:type="band1Horz">
      <w:tblPr/>
      <w:tcPr>
        <w:shd w:val="clear" w:color="auto" w:fill="FFF5D9"/>
      </w:tcPr>
    </w:tblStylePr>
    <w:tblStylePr w:type="neCell">
      <w:tblPr/>
      <w:tcPr>
        <w:tcBorders>
          <w:bottom w:val="single" w:sz="4" w:space="0" w:color="FFE18E"/>
        </w:tcBorders>
      </w:tcPr>
    </w:tblStylePr>
    <w:tblStylePr w:type="nwCell">
      <w:tblPr/>
      <w:tcPr>
        <w:tcBorders>
          <w:bottom w:val="single" w:sz="4" w:space="0" w:color="FFE18E"/>
        </w:tcBorders>
      </w:tcPr>
    </w:tblStylePr>
    <w:tblStylePr w:type="seCell">
      <w:tblPr/>
      <w:tcPr>
        <w:tcBorders>
          <w:top w:val="single" w:sz="4" w:space="0" w:color="FFE18E"/>
        </w:tcBorders>
      </w:tcPr>
    </w:tblStylePr>
    <w:tblStylePr w:type="swCell">
      <w:tblPr/>
      <w:tcPr>
        <w:tcBorders>
          <w:top w:val="single" w:sz="4" w:space="0" w:color="FFE18E"/>
        </w:tcBorders>
      </w:tcPr>
    </w:tblStylePr>
  </w:style>
  <w:style w:type="table" w:customStyle="1" w:styleId="LightGrid1">
    <w:name w:val="Light Grid1"/>
    <w:basedOn w:val="TableNormal"/>
    <w:next w:val="LightGrid"/>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7A6DB2"/>
        <w:left w:val="single" w:sz="8" w:space="0" w:color="7A6DB2"/>
        <w:bottom w:val="single" w:sz="8" w:space="0" w:color="7A6DB2"/>
        <w:right w:val="single" w:sz="8" w:space="0" w:color="7A6DB2"/>
        <w:insideH w:val="single" w:sz="8" w:space="0" w:color="7A6DB2"/>
        <w:insideV w:val="single" w:sz="8" w:space="0" w:color="7A6DB2"/>
      </w:tblBorders>
    </w:tblPr>
    <w:tblStylePr w:type="firstRow">
      <w:pPr>
        <w:spacing w:before="0" w:after="0" w:line="240" w:lineRule="auto"/>
      </w:pPr>
      <w:rPr>
        <w:rFonts w:ascii="Calibri Light" w:eastAsia="Times New Roman" w:hAnsi="Calibri Light" w:cs="Times New Roman"/>
        <w:b/>
        <w:bCs/>
      </w:rPr>
      <w:tblPr/>
      <w:tcPr>
        <w:tcBorders>
          <w:top w:val="single" w:sz="8" w:space="0" w:color="7A6DB2"/>
          <w:left w:val="single" w:sz="8" w:space="0" w:color="7A6DB2"/>
          <w:bottom w:val="single" w:sz="18" w:space="0" w:color="7A6DB2"/>
          <w:right w:val="single" w:sz="8" w:space="0" w:color="7A6DB2"/>
          <w:insideH w:val="nil"/>
          <w:insideV w:val="single" w:sz="8" w:space="0" w:color="7A6DB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A6DB2"/>
          <w:left w:val="single" w:sz="8" w:space="0" w:color="7A6DB2"/>
          <w:bottom w:val="single" w:sz="8" w:space="0" w:color="7A6DB2"/>
          <w:right w:val="single" w:sz="8" w:space="0" w:color="7A6DB2"/>
          <w:insideH w:val="nil"/>
          <w:insideV w:val="single" w:sz="8" w:space="0" w:color="7A6DB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A6DB2"/>
          <w:left w:val="single" w:sz="8" w:space="0" w:color="7A6DB2"/>
          <w:bottom w:val="single" w:sz="8" w:space="0" w:color="7A6DB2"/>
          <w:right w:val="single" w:sz="8" w:space="0" w:color="7A6DB2"/>
        </w:tcBorders>
      </w:tcPr>
    </w:tblStylePr>
    <w:tblStylePr w:type="band1Vert">
      <w:tblPr/>
      <w:tcPr>
        <w:tcBorders>
          <w:top w:val="single" w:sz="8" w:space="0" w:color="7A6DB2"/>
          <w:left w:val="single" w:sz="8" w:space="0" w:color="7A6DB2"/>
          <w:bottom w:val="single" w:sz="8" w:space="0" w:color="7A6DB2"/>
          <w:right w:val="single" w:sz="8" w:space="0" w:color="7A6DB2"/>
        </w:tcBorders>
        <w:shd w:val="clear" w:color="auto" w:fill="DDDAEC"/>
      </w:tcPr>
    </w:tblStylePr>
    <w:tblStylePr w:type="band1Horz">
      <w:tblPr/>
      <w:tcPr>
        <w:tcBorders>
          <w:top w:val="single" w:sz="8" w:space="0" w:color="7A6DB2"/>
          <w:left w:val="single" w:sz="8" w:space="0" w:color="7A6DB2"/>
          <w:bottom w:val="single" w:sz="8" w:space="0" w:color="7A6DB2"/>
          <w:right w:val="single" w:sz="8" w:space="0" w:color="7A6DB2"/>
          <w:insideV w:val="single" w:sz="8" w:space="0" w:color="7A6DB2"/>
        </w:tcBorders>
        <w:shd w:val="clear" w:color="auto" w:fill="DDDAEC"/>
      </w:tcPr>
    </w:tblStylePr>
    <w:tblStylePr w:type="band2Horz">
      <w:tblPr/>
      <w:tcPr>
        <w:tcBorders>
          <w:top w:val="single" w:sz="8" w:space="0" w:color="7A6DB2"/>
          <w:left w:val="single" w:sz="8" w:space="0" w:color="7A6DB2"/>
          <w:bottom w:val="single" w:sz="8" w:space="0" w:color="7A6DB2"/>
          <w:right w:val="single" w:sz="8" w:space="0" w:color="7A6DB2"/>
          <w:insideV w:val="single" w:sz="8" w:space="0" w:color="7A6DB2"/>
        </w:tcBorders>
      </w:tcPr>
    </w:tblStylePr>
  </w:style>
  <w:style w:type="table" w:customStyle="1" w:styleId="LightGrid-Accent21">
    <w:name w:val="Light Grid - Accent 21"/>
    <w:basedOn w:val="TableNormal"/>
    <w:next w:val="LightGrid-Accent2"/>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18A453"/>
        <w:left w:val="single" w:sz="8" w:space="0" w:color="18A453"/>
        <w:bottom w:val="single" w:sz="8" w:space="0" w:color="18A453"/>
        <w:right w:val="single" w:sz="8" w:space="0" w:color="18A453"/>
        <w:insideH w:val="single" w:sz="8" w:space="0" w:color="18A453"/>
        <w:insideV w:val="single" w:sz="8" w:space="0" w:color="18A453"/>
      </w:tblBorders>
    </w:tblPr>
    <w:tblStylePr w:type="firstRow">
      <w:pPr>
        <w:spacing w:before="0" w:after="0" w:line="240" w:lineRule="auto"/>
      </w:pPr>
      <w:rPr>
        <w:rFonts w:ascii="Calibri Light" w:eastAsia="Times New Roman" w:hAnsi="Calibri Light" w:cs="Times New Roman"/>
        <w:b/>
        <w:bCs/>
      </w:rPr>
      <w:tblPr/>
      <w:tcPr>
        <w:tcBorders>
          <w:top w:val="single" w:sz="8" w:space="0" w:color="18A453"/>
          <w:left w:val="single" w:sz="8" w:space="0" w:color="18A453"/>
          <w:bottom w:val="single" w:sz="18" w:space="0" w:color="18A453"/>
          <w:right w:val="single" w:sz="8" w:space="0" w:color="18A453"/>
          <w:insideH w:val="nil"/>
          <w:insideV w:val="single" w:sz="8" w:space="0" w:color="18A453"/>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18A453"/>
          <w:left w:val="single" w:sz="8" w:space="0" w:color="18A453"/>
          <w:bottom w:val="single" w:sz="8" w:space="0" w:color="18A453"/>
          <w:right w:val="single" w:sz="8" w:space="0" w:color="18A453"/>
          <w:insideH w:val="nil"/>
          <w:insideV w:val="single" w:sz="8" w:space="0" w:color="18A453"/>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18A453"/>
          <w:left w:val="single" w:sz="8" w:space="0" w:color="18A453"/>
          <w:bottom w:val="single" w:sz="8" w:space="0" w:color="18A453"/>
          <w:right w:val="single" w:sz="8" w:space="0" w:color="18A453"/>
        </w:tcBorders>
      </w:tcPr>
    </w:tblStylePr>
    <w:tblStylePr w:type="band1Vert">
      <w:tblPr/>
      <w:tcPr>
        <w:tcBorders>
          <w:top w:val="single" w:sz="8" w:space="0" w:color="18A453"/>
          <w:left w:val="single" w:sz="8" w:space="0" w:color="18A453"/>
          <w:bottom w:val="single" w:sz="8" w:space="0" w:color="18A453"/>
          <w:right w:val="single" w:sz="8" w:space="0" w:color="18A453"/>
        </w:tcBorders>
        <w:shd w:val="clear" w:color="auto" w:fill="B9F4D2"/>
      </w:tcPr>
    </w:tblStylePr>
    <w:tblStylePr w:type="band1Horz">
      <w:tblPr/>
      <w:tcPr>
        <w:tcBorders>
          <w:top w:val="single" w:sz="8" w:space="0" w:color="18A453"/>
          <w:left w:val="single" w:sz="8" w:space="0" w:color="18A453"/>
          <w:bottom w:val="single" w:sz="8" w:space="0" w:color="18A453"/>
          <w:right w:val="single" w:sz="8" w:space="0" w:color="18A453"/>
          <w:insideV w:val="single" w:sz="8" w:space="0" w:color="18A453"/>
        </w:tcBorders>
        <w:shd w:val="clear" w:color="auto" w:fill="B9F4D2"/>
      </w:tcPr>
    </w:tblStylePr>
    <w:tblStylePr w:type="band2Horz">
      <w:tblPr/>
      <w:tcPr>
        <w:tcBorders>
          <w:top w:val="single" w:sz="8" w:space="0" w:color="18A453"/>
          <w:left w:val="single" w:sz="8" w:space="0" w:color="18A453"/>
          <w:bottom w:val="single" w:sz="8" w:space="0" w:color="18A453"/>
          <w:right w:val="single" w:sz="8" w:space="0" w:color="18A453"/>
          <w:insideV w:val="single" w:sz="8" w:space="0" w:color="18A453"/>
        </w:tcBorders>
      </w:tcPr>
    </w:tblStylePr>
  </w:style>
  <w:style w:type="table" w:customStyle="1" w:styleId="LightGrid-Accent31">
    <w:name w:val="Light Grid - Accent 31"/>
    <w:basedOn w:val="TableNormal"/>
    <w:next w:val="LightGrid-Accent3"/>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5693D"/>
        <w:left w:val="single" w:sz="8" w:space="0" w:color="F5693D"/>
        <w:bottom w:val="single" w:sz="8" w:space="0" w:color="F5693D"/>
        <w:right w:val="single" w:sz="8" w:space="0" w:color="F5693D"/>
        <w:insideH w:val="single" w:sz="8" w:space="0" w:color="F5693D"/>
        <w:insideV w:val="single" w:sz="8" w:space="0" w:color="F5693D"/>
      </w:tblBorders>
    </w:tblPr>
    <w:tblStylePr w:type="firstRow">
      <w:pPr>
        <w:spacing w:before="0" w:after="0" w:line="240" w:lineRule="auto"/>
      </w:pPr>
      <w:rPr>
        <w:rFonts w:ascii="Calibri Light" w:eastAsia="Times New Roman" w:hAnsi="Calibri Light" w:cs="Times New Roman"/>
        <w:b/>
        <w:bCs/>
      </w:rPr>
      <w:tblPr/>
      <w:tcPr>
        <w:tcBorders>
          <w:top w:val="single" w:sz="8" w:space="0" w:color="F5693D"/>
          <w:left w:val="single" w:sz="8" w:space="0" w:color="F5693D"/>
          <w:bottom w:val="single" w:sz="18" w:space="0" w:color="F5693D"/>
          <w:right w:val="single" w:sz="8" w:space="0" w:color="F5693D"/>
          <w:insideH w:val="nil"/>
          <w:insideV w:val="single" w:sz="8" w:space="0" w:color="F5693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5693D"/>
          <w:left w:val="single" w:sz="8" w:space="0" w:color="F5693D"/>
          <w:bottom w:val="single" w:sz="8" w:space="0" w:color="F5693D"/>
          <w:right w:val="single" w:sz="8" w:space="0" w:color="F5693D"/>
          <w:insideH w:val="nil"/>
          <w:insideV w:val="single" w:sz="8" w:space="0" w:color="F5693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5693D"/>
          <w:left w:val="single" w:sz="8" w:space="0" w:color="F5693D"/>
          <w:bottom w:val="single" w:sz="8" w:space="0" w:color="F5693D"/>
          <w:right w:val="single" w:sz="8" w:space="0" w:color="F5693D"/>
        </w:tcBorders>
      </w:tcPr>
    </w:tblStylePr>
    <w:tblStylePr w:type="band1Vert">
      <w:tblPr/>
      <w:tcPr>
        <w:tcBorders>
          <w:top w:val="single" w:sz="8" w:space="0" w:color="F5693D"/>
          <w:left w:val="single" w:sz="8" w:space="0" w:color="F5693D"/>
          <w:bottom w:val="single" w:sz="8" w:space="0" w:color="F5693D"/>
          <w:right w:val="single" w:sz="8" w:space="0" w:color="F5693D"/>
        </w:tcBorders>
        <w:shd w:val="clear" w:color="auto" w:fill="FCD9CE"/>
      </w:tcPr>
    </w:tblStylePr>
    <w:tblStylePr w:type="band1Horz">
      <w:tblPr/>
      <w:tcPr>
        <w:tcBorders>
          <w:top w:val="single" w:sz="8" w:space="0" w:color="F5693D"/>
          <w:left w:val="single" w:sz="8" w:space="0" w:color="F5693D"/>
          <w:bottom w:val="single" w:sz="8" w:space="0" w:color="F5693D"/>
          <w:right w:val="single" w:sz="8" w:space="0" w:color="F5693D"/>
          <w:insideV w:val="single" w:sz="8" w:space="0" w:color="F5693D"/>
        </w:tcBorders>
        <w:shd w:val="clear" w:color="auto" w:fill="FCD9CE"/>
      </w:tcPr>
    </w:tblStylePr>
    <w:tblStylePr w:type="band2Horz">
      <w:tblPr/>
      <w:tcPr>
        <w:tcBorders>
          <w:top w:val="single" w:sz="8" w:space="0" w:color="F5693D"/>
          <w:left w:val="single" w:sz="8" w:space="0" w:color="F5693D"/>
          <w:bottom w:val="single" w:sz="8" w:space="0" w:color="F5693D"/>
          <w:right w:val="single" w:sz="8" w:space="0" w:color="F5693D"/>
          <w:insideV w:val="single" w:sz="8" w:space="0" w:color="F5693D"/>
        </w:tcBorders>
      </w:tcPr>
    </w:tblStylePr>
  </w:style>
  <w:style w:type="table" w:customStyle="1" w:styleId="LightGrid-Accent41">
    <w:name w:val="Light Grid - Accent 41"/>
    <w:basedOn w:val="TableNormal"/>
    <w:next w:val="LightGrid-Accent4"/>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14A6E1"/>
        <w:left w:val="single" w:sz="8" w:space="0" w:color="14A6E1"/>
        <w:bottom w:val="single" w:sz="8" w:space="0" w:color="14A6E1"/>
        <w:right w:val="single" w:sz="8" w:space="0" w:color="14A6E1"/>
        <w:insideH w:val="single" w:sz="8" w:space="0" w:color="14A6E1"/>
        <w:insideV w:val="single" w:sz="8" w:space="0" w:color="14A6E1"/>
      </w:tblBorders>
    </w:tblPr>
    <w:tblStylePr w:type="firstRow">
      <w:pPr>
        <w:spacing w:before="0" w:after="0" w:line="240" w:lineRule="auto"/>
      </w:pPr>
      <w:rPr>
        <w:rFonts w:ascii="Calibri Light" w:eastAsia="Times New Roman" w:hAnsi="Calibri Light" w:cs="Times New Roman"/>
        <w:b/>
        <w:bCs/>
      </w:rPr>
      <w:tblPr/>
      <w:tcPr>
        <w:tcBorders>
          <w:top w:val="single" w:sz="8" w:space="0" w:color="14A6E1"/>
          <w:left w:val="single" w:sz="8" w:space="0" w:color="14A6E1"/>
          <w:bottom w:val="single" w:sz="18" w:space="0" w:color="14A6E1"/>
          <w:right w:val="single" w:sz="8" w:space="0" w:color="14A6E1"/>
          <w:insideH w:val="nil"/>
          <w:insideV w:val="single" w:sz="8" w:space="0" w:color="14A6E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14A6E1"/>
          <w:left w:val="single" w:sz="8" w:space="0" w:color="14A6E1"/>
          <w:bottom w:val="single" w:sz="8" w:space="0" w:color="14A6E1"/>
          <w:right w:val="single" w:sz="8" w:space="0" w:color="14A6E1"/>
          <w:insideH w:val="nil"/>
          <w:insideV w:val="single" w:sz="8" w:space="0" w:color="14A6E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14A6E1"/>
          <w:left w:val="single" w:sz="8" w:space="0" w:color="14A6E1"/>
          <w:bottom w:val="single" w:sz="8" w:space="0" w:color="14A6E1"/>
          <w:right w:val="single" w:sz="8" w:space="0" w:color="14A6E1"/>
        </w:tcBorders>
      </w:tcPr>
    </w:tblStylePr>
    <w:tblStylePr w:type="band1Vert">
      <w:tblPr/>
      <w:tcPr>
        <w:tcBorders>
          <w:top w:val="single" w:sz="8" w:space="0" w:color="14A6E1"/>
          <w:left w:val="single" w:sz="8" w:space="0" w:color="14A6E1"/>
          <w:bottom w:val="single" w:sz="8" w:space="0" w:color="14A6E1"/>
          <w:right w:val="single" w:sz="8" w:space="0" w:color="14A6E1"/>
        </w:tcBorders>
        <w:shd w:val="clear" w:color="auto" w:fill="C2E9F9"/>
      </w:tcPr>
    </w:tblStylePr>
    <w:tblStylePr w:type="band1Horz">
      <w:tblPr/>
      <w:tcPr>
        <w:tcBorders>
          <w:top w:val="single" w:sz="8" w:space="0" w:color="14A6E1"/>
          <w:left w:val="single" w:sz="8" w:space="0" w:color="14A6E1"/>
          <w:bottom w:val="single" w:sz="8" w:space="0" w:color="14A6E1"/>
          <w:right w:val="single" w:sz="8" w:space="0" w:color="14A6E1"/>
          <w:insideV w:val="single" w:sz="8" w:space="0" w:color="14A6E1"/>
        </w:tcBorders>
        <w:shd w:val="clear" w:color="auto" w:fill="C2E9F9"/>
      </w:tcPr>
    </w:tblStylePr>
    <w:tblStylePr w:type="band2Horz">
      <w:tblPr/>
      <w:tcPr>
        <w:tcBorders>
          <w:top w:val="single" w:sz="8" w:space="0" w:color="14A6E1"/>
          <w:left w:val="single" w:sz="8" w:space="0" w:color="14A6E1"/>
          <w:bottom w:val="single" w:sz="8" w:space="0" w:color="14A6E1"/>
          <w:right w:val="single" w:sz="8" w:space="0" w:color="14A6E1"/>
          <w:insideV w:val="single" w:sz="8" w:space="0" w:color="14A6E1"/>
        </w:tcBorders>
      </w:tcPr>
    </w:tblStylePr>
  </w:style>
  <w:style w:type="table" w:customStyle="1" w:styleId="LightGrid-Accent51">
    <w:name w:val="Light Grid - Accent 51"/>
    <w:basedOn w:val="TableNormal"/>
    <w:next w:val="LightGrid-Accent5"/>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215E94"/>
        <w:left w:val="single" w:sz="8" w:space="0" w:color="215E94"/>
        <w:bottom w:val="single" w:sz="8" w:space="0" w:color="215E94"/>
        <w:right w:val="single" w:sz="8" w:space="0" w:color="215E94"/>
        <w:insideH w:val="single" w:sz="8" w:space="0" w:color="215E94"/>
        <w:insideV w:val="single" w:sz="8" w:space="0" w:color="215E94"/>
      </w:tblBorders>
    </w:tblPr>
    <w:tblStylePr w:type="firstRow">
      <w:pPr>
        <w:spacing w:before="0" w:after="0" w:line="240" w:lineRule="auto"/>
      </w:pPr>
      <w:rPr>
        <w:rFonts w:ascii="Calibri Light" w:eastAsia="Times New Roman" w:hAnsi="Calibri Light" w:cs="Times New Roman"/>
        <w:b/>
        <w:bCs/>
      </w:rPr>
      <w:tblPr/>
      <w:tcPr>
        <w:tcBorders>
          <w:top w:val="single" w:sz="8" w:space="0" w:color="215E94"/>
          <w:left w:val="single" w:sz="8" w:space="0" w:color="215E94"/>
          <w:bottom w:val="single" w:sz="18" w:space="0" w:color="215E94"/>
          <w:right w:val="single" w:sz="8" w:space="0" w:color="215E94"/>
          <w:insideH w:val="nil"/>
          <w:insideV w:val="single" w:sz="8" w:space="0" w:color="215E9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215E94"/>
          <w:left w:val="single" w:sz="8" w:space="0" w:color="215E94"/>
          <w:bottom w:val="single" w:sz="8" w:space="0" w:color="215E94"/>
          <w:right w:val="single" w:sz="8" w:space="0" w:color="215E94"/>
          <w:insideH w:val="nil"/>
          <w:insideV w:val="single" w:sz="8" w:space="0" w:color="215E9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215E94"/>
          <w:left w:val="single" w:sz="8" w:space="0" w:color="215E94"/>
          <w:bottom w:val="single" w:sz="8" w:space="0" w:color="215E94"/>
          <w:right w:val="single" w:sz="8" w:space="0" w:color="215E94"/>
        </w:tcBorders>
      </w:tcPr>
    </w:tblStylePr>
    <w:tblStylePr w:type="band1Vert">
      <w:tblPr/>
      <w:tcPr>
        <w:tcBorders>
          <w:top w:val="single" w:sz="8" w:space="0" w:color="215E94"/>
          <w:left w:val="single" w:sz="8" w:space="0" w:color="215E94"/>
          <w:bottom w:val="single" w:sz="8" w:space="0" w:color="215E94"/>
          <w:right w:val="single" w:sz="8" w:space="0" w:color="215E94"/>
        </w:tcBorders>
        <w:shd w:val="clear" w:color="auto" w:fill="BCD7F0"/>
      </w:tcPr>
    </w:tblStylePr>
    <w:tblStylePr w:type="band1Horz">
      <w:tblPr/>
      <w:tcPr>
        <w:tcBorders>
          <w:top w:val="single" w:sz="8" w:space="0" w:color="215E94"/>
          <w:left w:val="single" w:sz="8" w:space="0" w:color="215E94"/>
          <w:bottom w:val="single" w:sz="8" w:space="0" w:color="215E94"/>
          <w:right w:val="single" w:sz="8" w:space="0" w:color="215E94"/>
          <w:insideV w:val="single" w:sz="8" w:space="0" w:color="215E94"/>
        </w:tcBorders>
        <w:shd w:val="clear" w:color="auto" w:fill="BCD7F0"/>
      </w:tcPr>
    </w:tblStylePr>
    <w:tblStylePr w:type="band2Horz">
      <w:tblPr/>
      <w:tcPr>
        <w:tcBorders>
          <w:top w:val="single" w:sz="8" w:space="0" w:color="215E94"/>
          <w:left w:val="single" w:sz="8" w:space="0" w:color="215E94"/>
          <w:bottom w:val="single" w:sz="8" w:space="0" w:color="215E94"/>
          <w:right w:val="single" w:sz="8" w:space="0" w:color="215E94"/>
          <w:insideV w:val="single" w:sz="8" w:space="0" w:color="215E94"/>
        </w:tcBorders>
      </w:tcPr>
    </w:tblStylePr>
  </w:style>
  <w:style w:type="table" w:customStyle="1" w:styleId="LightGrid-Accent61">
    <w:name w:val="Light Grid - Accent 61"/>
    <w:basedOn w:val="TableNormal"/>
    <w:next w:val="LightGrid-Accent6"/>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FCE43"/>
        <w:left w:val="single" w:sz="8" w:space="0" w:color="FFCE43"/>
        <w:bottom w:val="single" w:sz="8" w:space="0" w:color="FFCE43"/>
        <w:right w:val="single" w:sz="8" w:space="0" w:color="FFCE43"/>
        <w:insideH w:val="single" w:sz="8" w:space="0" w:color="FFCE43"/>
        <w:insideV w:val="single" w:sz="8" w:space="0" w:color="FFCE43"/>
      </w:tblBorders>
    </w:tblPr>
    <w:tblStylePr w:type="firstRow">
      <w:pPr>
        <w:spacing w:before="0" w:after="0" w:line="240" w:lineRule="auto"/>
      </w:pPr>
      <w:rPr>
        <w:rFonts w:ascii="Calibri Light" w:eastAsia="Times New Roman" w:hAnsi="Calibri Light" w:cs="Times New Roman"/>
        <w:b/>
        <w:bCs/>
      </w:rPr>
      <w:tblPr/>
      <w:tcPr>
        <w:tcBorders>
          <w:top w:val="single" w:sz="8" w:space="0" w:color="FFCE43"/>
          <w:left w:val="single" w:sz="8" w:space="0" w:color="FFCE43"/>
          <w:bottom w:val="single" w:sz="18" w:space="0" w:color="FFCE43"/>
          <w:right w:val="single" w:sz="8" w:space="0" w:color="FFCE43"/>
          <w:insideH w:val="nil"/>
          <w:insideV w:val="single" w:sz="8" w:space="0" w:color="FFCE43"/>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E43"/>
          <w:left w:val="single" w:sz="8" w:space="0" w:color="FFCE43"/>
          <w:bottom w:val="single" w:sz="8" w:space="0" w:color="FFCE43"/>
          <w:right w:val="single" w:sz="8" w:space="0" w:color="FFCE43"/>
          <w:insideH w:val="nil"/>
          <w:insideV w:val="single" w:sz="8" w:space="0" w:color="FFCE43"/>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E43"/>
          <w:left w:val="single" w:sz="8" w:space="0" w:color="FFCE43"/>
          <w:bottom w:val="single" w:sz="8" w:space="0" w:color="FFCE43"/>
          <w:right w:val="single" w:sz="8" w:space="0" w:color="FFCE43"/>
        </w:tcBorders>
      </w:tcPr>
    </w:tblStylePr>
    <w:tblStylePr w:type="band1Vert">
      <w:tblPr/>
      <w:tcPr>
        <w:tcBorders>
          <w:top w:val="single" w:sz="8" w:space="0" w:color="FFCE43"/>
          <w:left w:val="single" w:sz="8" w:space="0" w:color="FFCE43"/>
          <w:bottom w:val="single" w:sz="8" w:space="0" w:color="FFCE43"/>
          <w:right w:val="single" w:sz="8" w:space="0" w:color="FFCE43"/>
        </w:tcBorders>
        <w:shd w:val="clear" w:color="auto" w:fill="FFF2D0"/>
      </w:tcPr>
    </w:tblStylePr>
    <w:tblStylePr w:type="band1Horz">
      <w:tblPr/>
      <w:tcPr>
        <w:tcBorders>
          <w:top w:val="single" w:sz="8" w:space="0" w:color="FFCE43"/>
          <w:left w:val="single" w:sz="8" w:space="0" w:color="FFCE43"/>
          <w:bottom w:val="single" w:sz="8" w:space="0" w:color="FFCE43"/>
          <w:right w:val="single" w:sz="8" w:space="0" w:color="FFCE43"/>
          <w:insideV w:val="single" w:sz="8" w:space="0" w:color="FFCE43"/>
        </w:tcBorders>
        <w:shd w:val="clear" w:color="auto" w:fill="FFF2D0"/>
      </w:tcPr>
    </w:tblStylePr>
    <w:tblStylePr w:type="band2Horz">
      <w:tblPr/>
      <w:tcPr>
        <w:tcBorders>
          <w:top w:val="single" w:sz="8" w:space="0" w:color="FFCE43"/>
          <w:left w:val="single" w:sz="8" w:space="0" w:color="FFCE43"/>
          <w:bottom w:val="single" w:sz="8" w:space="0" w:color="FFCE43"/>
          <w:right w:val="single" w:sz="8" w:space="0" w:color="FFCE43"/>
          <w:insideV w:val="single" w:sz="8" w:space="0" w:color="FFCE43"/>
        </w:tcBorders>
      </w:tcPr>
    </w:tblStylePr>
  </w:style>
  <w:style w:type="table" w:customStyle="1" w:styleId="LightList1">
    <w:name w:val="Light List1"/>
    <w:basedOn w:val="TableNormal"/>
    <w:next w:val="LightList"/>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7A6DB2"/>
        <w:left w:val="single" w:sz="8" w:space="0" w:color="7A6DB2"/>
        <w:bottom w:val="single" w:sz="8" w:space="0" w:color="7A6DB2"/>
        <w:right w:val="single" w:sz="8" w:space="0" w:color="7A6DB2"/>
      </w:tblBorders>
    </w:tblPr>
    <w:tblStylePr w:type="firstRow">
      <w:pPr>
        <w:spacing w:before="0" w:after="0" w:line="240" w:lineRule="auto"/>
      </w:pPr>
      <w:rPr>
        <w:b/>
        <w:bCs/>
        <w:color w:val="FFFFFF"/>
      </w:rPr>
      <w:tblPr/>
      <w:tcPr>
        <w:shd w:val="clear" w:color="auto" w:fill="7A6DB2"/>
      </w:tcPr>
    </w:tblStylePr>
    <w:tblStylePr w:type="lastRow">
      <w:pPr>
        <w:spacing w:before="0" w:after="0" w:line="240" w:lineRule="auto"/>
      </w:pPr>
      <w:rPr>
        <w:b/>
        <w:bCs/>
      </w:rPr>
      <w:tblPr/>
      <w:tcPr>
        <w:tcBorders>
          <w:top w:val="double" w:sz="6" w:space="0" w:color="7A6DB2"/>
          <w:left w:val="single" w:sz="8" w:space="0" w:color="7A6DB2"/>
          <w:bottom w:val="single" w:sz="8" w:space="0" w:color="7A6DB2"/>
          <w:right w:val="single" w:sz="8" w:space="0" w:color="7A6DB2"/>
        </w:tcBorders>
      </w:tcPr>
    </w:tblStylePr>
    <w:tblStylePr w:type="firstCol">
      <w:rPr>
        <w:b/>
        <w:bCs/>
      </w:rPr>
    </w:tblStylePr>
    <w:tblStylePr w:type="lastCol">
      <w:rPr>
        <w:b/>
        <w:bCs/>
      </w:rPr>
    </w:tblStylePr>
    <w:tblStylePr w:type="band1Vert">
      <w:tblPr/>
      <w:tcPr>
        <w:tcBorders>
          <w:top w:val="single" w:sz="8" w:space="0" w:color="7A6DB2"/>
          <w:left w:val="single" w:sz="8" w:space="0" w:color="7A6DB2"/>
          <w:bottom w:val="single" w:sz="8" w:space="0" w:color="7A6DB2"/>
          <w:right w:val="single" w:sz="8" w:space="0" w:color="7A6DB2"/>
        </w:tcBorders>
      </w:tcPr>
    </w:tblStylePr>
    <w:tblStylePr w:type="band1Horz">
      <w:tblPr/>
      <w:tcPr>
        <w:tcBorders>
          <w:top w:val="single" w:sz="8" w:space="0" w:color="7A6DB2"/>
          <w:left w:val="single" w:sz="8" w:space="0" w:color="7A6DB2"/>
          <w:bottom w:val="single" w:sz="8" w:space="0" w:color="7A6DB2"/>
          <w:right w:val="single" w:sz="8" w:space="0" w:color="7A6DB2"/>
        </w:tcBorders>
      </w:tcPr>
    </w:tblStylePr>
  </w:style>
  <w:style w:type="table" w:customStyle="1" w:styleId="LightList-Accent21">
    <w:name w:val="Light List - Accent 21"/>
    <w:basedOn w:val="TableNormal"/>
    <w:next w:val="LightList-Accent2"/>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18A453"/>
        <w:left w:val="single" w:sz="8" w:space="0" w:color="18A453"/>
        <w:bottom w:val="single" w:sz="8" w:space="0" w:color="18A453"/>
        <w:right w:val="single" w:sz="8" w:space="0" w:color="18A453"/>
      </w:tblBorders>
    </w:tblPr>
    <w:tblStylePr w:type="firstRow">
      <w:pPr>
        <w:spacing w:before="0" w:after="0" w:line="240" w:lineRule="auto"/>
      </w:pPr>
      <w:rPr>
        <w:b/>
        <w:bCs/>
        <w:color w:val="FFFFFF"/>
      </w:rPr>
      <w:tblPr/>
      <w:tcPr>
        <w:shd w:val="clear" w:color="auto" w:fill="18A453"/>
      </w:tcPr>
    </w:tblStylePr>
    <w:tblStylePr w:type="lastRow">
      <w:pPr>
        <w:spacing w:before="0" w:after="0" w:line="240" w:lineRule="auto"/>
      </w:pPr>
      <w:rPr>
        <w:b/>
        <w:bCs/>
      </w:rPr>
      <w:tblPr/>
      <w:tcPr>
        <w:tcBorders>
          <w:top w:val="double" w:sz="6" w:space="0" w:color="18A453"/>
          <w:left w:val="single" w:sz="8" w:space="0" w:color="18A453"/>
          <w:bottom w:val="single" w:sz="8" w:space="0" w:color="18A453"/>
          <w:right w:val="single" w:sz="8" w:space="0" w:color="18A453"/>
        </w:tcBorders>
      </w:tcPr>
    </w:tblStylePr>
    <w:tblStylePr w:type="firstCol">
      <w:rPr>
        <w:b/>
        <w:bCs/>
      </w:rPr>
    </w:tblStylePr>
    <w:tblStylePr w:type="lastCol">
      <w:rPr>
        <w:b/>
        <w:bCs/>
      </w:rPr>
    </w:tblStylePr>
    <w:tblStylePr w:type="band1Vert">
      <w:tblPr/>
      <w:tcPr>
        <w:tcBorders>
          <w:top w:val="single" w:sz="8" w:space="0" w:color="18A453"/>
          <w:left w:val="single" w:sz="8" w:space="0" w:color="18A453"/>
          <w:bottom w:val="single" w:sz="8" w:space="0" w:color="18A453"/>
          <w:right w:val="single" w:sz="8" w:space="0" w:color="18A453"/>
        </w:tcBorders>
      </w:tcPr>
    </w:tblStylePr>
    <w:tblStylePr w:type="band1Horz">
      <w:tblPr/>
      <w:tcPr>
        <w:tcBorders>
          <w:top w:val="single" w:sz="8" w:space="0" w:color="18A453"/>
          <w:left w:val="single" w:sz="8" w:space="0" w:color="18A453"/>
          <w:bottom w:val="single" w:sz="8" w:space="0" w:color="18A453"/>
          <w:right w:val="single" w:sz="8" w:space="0" w:color="18A453"/>
        </w:tcBorders>
      </w:tcPr>
    </w:tblStylePr>
  </w:style>
  <w:style w:type="table" w:customStyle="1" w:styleId="LightList-Accent31">
    <w:name w:val="Light List - Accent 31"/>
    <w:basedOn w:val="TableNormal"/>
    <w:next w:val="LightList-Accent3"/>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5693D"/>
        <w:left w:val="single" w:sz="8" w:space="0" w:color="F5693D"/>
        <w:bottom w:val="single" w:sz="8" w:space="0" w:color="F5693D"/>
        <w:right w:val="single" w:sz="8" w:space="0" w:color="F5693D"/>
      </w:tblBorders>
    </w:tblPr>
    <w:tblStylePr w:type="firstRow">
      <w:pPr>
        <w:spacing w:before="0" w:after="0" w:line="240" w:lineRule="auto"/>
      </w:pPr>
      <w:rPr>
        <w:b/>
        <w:bCs/>
        <w:color w:val="FFFFFF"/>
      </w:rPr>
      <w:tblPr/>
      <w:tcPr>
        <w:shd w:val="clear" w:color="auto" w:fill="F5693D"/>
      </w:tcPr>
    </w:tblStylePr>
    <w:tblStylePr w:type="lastRow">
      <w:pPr>
        <w:spacing w:before="0" w:after="0" w:line="240" w:lineRule="auto"/>
      </w:pPr>
      <w:rPr>
        <w:b/>
        <w:bCs/>
      </w:rPr>
      <w:tblPr/>
      <w:tcPr>
        <w:tcBorders>
          <w:top w:val="double" w:sz="6" w:space="0" w:color="F5693D"/>
          <w:left w:val="single" w:sz="8" w:space="0" w:color="F5693D"/>
          <w:bottom w:val="single" w:sz="8" w:space="0" w:color="F5693D"/>
          <w:right w:val="single" w:sz="8" w:space="0" w:color="F5693D"/>
        </w:tcBorders>
      </w:tcPr>
    </w:tblStylePr>
    <w:tblStylePr w:type="firstCol">
      <w:rPr>
        <w:b/>
        <w:bCs/>
      </w:rPr>
    </w:tblStylePr>
    <w:tblStylePr w:type="lastCol">
      <w:rPr>
        <w:b/>
        <w:bCs/>
      </w:rPr>
    </w:tblStylePr>
    <w:tblStylePr w:type="band1Vert">
      <w:tblPr/>
      <w:tcPr>
        <w:tcBorders>
          <w:top w:val="single" w:sz="8" w:space="0" w:color="F5693D"/>
          <w:left w:val="single" w:sz="8" w:space="0" w:color="F5693D"/>
          <w:bottom w:val="single" w:sz="8" w:space="0" w:color="F5693D"/>
          <w:right w:val="single" w:sz="8" w:space="0" w:color="F5693D"/>
        </w:tcBorders>
      </w:tcPr>
    </w:tblStylePr>
    <w:tblStylePr w:type="band1Horz">
      <w:tblPr/>
      <w:tcPr>
        <w:tcBorders>
          <w:top w:val="single" w:sz="8" w:space="0" w:color="F5693D"/>
          <w:left w:val="single" w:sz="8" w:space="0" w:color="F5693D"/>
          <w:bottom w:val="single" w:sz="8" w:space="0" w:color="F5693D"/>
          <w:right w:val="single" w:sz="8" w:space="0" w:color="F5693D"/>
        </w:tcBorders>
      </w:tcPr>
    </w:tblStylePr>
  </w:style>
  <w:style w:type="table" w:customStyle="1" w:styleId="LightList-Accent41">
    <w:name w:val="Light List - Accent 41"/>
    <w:basedOn w:val="TableNormal"/>
    <w:next w:val="LightList-Accent4"/>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14A6E1"/>
        <w:left w:val="single" w:sz="8" w:space="0" w:color="14A6E1"/>
        <w:bottom w:val="single" w:sz="8" w:space="0" w:color="14A6E1"/>
        <w:right w:val="single" w:sz="8" w:space="0" w:color="14A6E1"/>
      </w:tblBorders>
    </w:tblPr>
    <w:tblStylePr w:type="firstRow">
      <w:pPr>
        <w:spacing w:before="0" w:after="0" w:line="240" w:lineRule="auto"/>
      </w:pPr>
      <w:rPr>
        <w:b/>
        <w:bCs/>
        <w:color w:val="FFFFFF"/>
      </w:rPr>
      <w:tblPr/>
      <w:tcPr>
        <w:shd w:val="clear" w:color="auto" w:fill="14A6E1"/>
      </w:tcPr>
    </w:tblStylePr>
    <w:tblStylePr w:type="lastRow">
      <w:pPr>
        <w:spacing w:before="0" w:after="0" w:line="240" w:lineRule="auto"/>
      </w:pPr>
      <w:rPr>
        <w:b/>
        <w:bCs/>
      </w:rPr>
      <w:tblPr/>
      <w:tcPr>
        <w:tcBorders>
          <w:top w:val="double" w:sz="6" w:space="0" w:color="14A6E1"/>
          <w:left w:val="single" w:sz="8" w:space="0" w:color="14A6E1"/>
          <w:bottom w:val="single" w:sz="8" w:space="0" w:color="14A6E1"/>
          <w:right w:val="single" w:sz="8" w:space="0" w:color="14A6E1"/>
        </w:tcBorders>
      </w:tcPr>
    </w:tblStylePr>
    <w:tblStylePr w:type="firstCol">
      <w:rPr>
        <w:b/>
        <w:bCs/>
      </w:rPr>
    </w:tblStylePr>
    <w:tblStylePr w:type="lastCol">
      <w:rPr>
        <w:b/>
        <w:bCs/>
      </w:rPr>
    </w:tblStylePr>
    <w:tblStylePr w:type="band1Vert">
      <w:tblPr/>
      <w:tcPr>
        <w:tcBorders>
          <w:top w:val="single" w:sz="8" w:space="0" w:color="14A6E1"/>
          <w:left w:val="single" w:sz="8" w:space="0" w:color="14A6E1"/>
          <w:bottom w:val="single" w:sz="8" w:space="0" w:color="14A6E1"/>
          <w:right w:val="single" w:sz="8" w:space="0" w:color="14A6E1"/>
        </w:tcBorders>
      </w:tcPr>
    </w:tblStylePr>
    <w:tblStylePr w:type="band1Horz">
      <w:tblPr/>
      <w:tcPr>
        <w:tcBorders>
          <w:top w:val="single" w:sz="8" w:space="0" w:color="14A6E1"/>
          <w:left w:val="single" w:sz="8" w:space="0" w:color="14A6E1"/>
          <w:bottom w:val="single" w:sz="8" w:space="0" w:color="14A6E1"/>
          <w:right w:val="single" w:sz="8" w:space="0" w:color="14A6E1"/>
        </w:tcBorders>
      </w:tcPr>
    </w:tblStylePr>
  </w:style>
  <w:style w:type="table" w:customStyle="1" w:styleId="LightList-Accent51">
    <w:name w:val="Light List - Accent 51"/>
    <w:basedOn w:val="TableNormal"/>
    <w:next w:val="LightList-Accent5"/>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215E94"/>
        <w:left w:val="single" w:sz="8" w:space="0" w:color="215E94"/>
        <w:bottom w:val="single" w:sz="8" w:space="0" w:color="215E94"/>
        <w:right w:val="single" w:sz="8" w:space="0" w:color="215E94"/>
      </w:tblBorders>
    </w:tblPr>
    <w:tblStylePr w:type="firstRow">
      <w:pPr>
        <w:spacing w:before="0" w:after="0" w:line="240" w:lineRule="auto"/>
      </w:pPr>
      <w:rPr>
        <w:b/>
        <w:bCs/>
        <w:color w:val="FFFFFF"/>
      </w:rPr>
      <w:tblPr/>
      <w:tcPr>
        <w:shd w:val="clear" w:color="auto" w:fill="215E94"/>
      </w:tcPr>
    </w:tblStylePr>
    <w:tblStylePr w:type="lastRow">
      <w:pPr>
        <w:spacing w:before="0" w:after="0" w:line="240" w:lineRule="auto"/>
      </w:pPr>
      <w:rPr>
        <w:b/>
        <w:bCs/>
      </w:rPr>
      <w:tblPr/>
      <w:tcPr>
        <w:tcBorders>
          <w:top w:val="double" w:sz="6" w:space="0" w:color="215E94"/>
          <w:left w:val="single" w:sz="8" w:space="0" w:color="215E94"/>
          <w:bottom w:val="single" w:sz="8" w:space="0" w:color="215E94"/>
          <w:right w:val="single" w:sz="8" w:space="0" w:color="215E94"/>
        </w:tcBorders>
      </w:tcPr>
    </w:tblStylePr>
    <w:tblStylePr w:type="firstCol">
      <w:rPr>
        <w:b/>
        <w:bCs/>
      </w:rPr>
    </w:tblStylePr>
    <w:tblStylePr w:type="lastCol">
      <w:rPr>
        <w:b/>
        <w:bCs/>
      </w:rPr>
    </w:tblStylePr>
    <w:tblStylePr w:type="band1Vert">
      <w:tblPr/>
      <w:tcPr>
        <w:tcBorders>
          <w:top w:val="single" w:sz="8" w:space="0" w:color="215E94"/>
          <w:left w:val="single" w:sz="8" w:space="0" w:color="215E94"/>
          <w:bottom w:val="single" w:sz="8" w:space="0" w:color="215E94"/>
          <w:right w:val="single" w:sz="8" w:space="0" w:color="215E94"/>
        </w:tcBorders>
      </w:tcPr>
    </w:tblStylePr>
    <w:tblStylePr w:type="band1Horz">
      <w:tblPr/>
      <w:tcPr>
        <w:tcBorders>
          <w:top w:val="single" w:sz="8" w:space="0" w:color="215E94"/>
          <w:left w:val="single" w:sz="8" w:space="0" w:color="215E94"/>
          <w:bottom w:val="single" w:sz="8" w:space="0" w:color="215E94"/>
          <w:right w:val="single" w:sz="8" w:space="0" w:color="215E94"/>
        </w:tcBorders>
      </w:tcPr>
    </w:tblStylePr>
  </w:style>
  <w:style w:type="table" w:customStyle="1" w:styleId="LightList-Accent61">
    <w:name w:val="Light List - Accent 61"/>
    <w:basedOn w:val="TableNormal"/>
    <w:next w:val="LightList-Accent6"/>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FCE43"/>
        <w:left w:val="single" w:sz="8" w:space="0" w:color="FFCE43"/>
        <w:bottom w:val="single" w:sz="8" w:space="0" w:color="FFCE43"/>
        <w:right w:val="single" w:sz="8" w:space="0" w:color="FFCE43"/>
      </w:tblBorders>
    </w:tblPr>
    <w:tblStylePr w:type="firstRow">
      <w:pPr>
        <w:spacing w:before="0" w:after="0" w:line="240" w:lineRule="auto"/>
      </w:pPr>
      <w:rPr>
        <w:b/>
        <w:bCs/>
        <w:color w:val="FFFFFF"/>
      </w:rPr>
      <w:tblPr/>
      <w:tcPr>
        <w:shd w:val="clear" w:color="auto" w:fill="FFCE43"/>
      </w:tcPr>
    </w:tblStylePr>
    <w:tblStylePr w:type="lastRow">
      <w:pPr>
        <w:spacing w:before="0" w:after="0" w:line="240" w:lineRule="auto"/>
      </w:pPr>
      <w:rPr>
        <w:b/>
        <w:bCs/>
      </w:rPr>
      <w:tblPr/>
      <w:tcPr>
        <w:tcBorders>
          <w:top w:val="double" w:sz="6" w:space="0" w:color="FFCE43"/>
          <w:left w:val="single" w:sz="8" w:space="0" w:color="FFCE43"/>
          <w:bottom w:val="single" w:sz="8" w:space="0" w:color="FFCE43"/>
          <w:right w:val="single" w:sz="8" w:space="0" w:color="FFCE43"/>
        </w:tcBorders>
      </w:tcPr>
    </w:tblStylePr>
    <w:tblStylePr w:type="firstCol">
      <w:rPr>
        <w:b/>
        <w:bCs/>
      </w:rPr>
    </w:tblStylePr>
    <w:tblStylePr w:type="lastCol">
      <w:rPr>
        <w:b/>
        <w:bCs/>
      </w:rPr>
    </w:tblStylePr>
    <w:tblStylePr w:type="band1Vert">
      <w:tblPr/>
      <w:tcPr>
        <w:tcBorders>
          <w:top w:val="single" w:sz="8" w:space="0" w:color="FFCE43"/>
          <w:left w:val="single" w:sz="8" w:space="0" w:color="FFCE43"/>
          <w:bottom w:val="single" w:sz="8" w:space="0" w:color="FFCE43"/>
          <w:right w:val="single" w:sz="8" w:space="0" w:color="FFCE43"/>
        </w:tcBorders>
      </w:tcPr>
    </w:tblStylePr>
    <w:tblStylePr w:type="band1Horz">
      <w:tblPr/>
      <w:tcPr>
        <w:tcBorders>
          <w:top w:val="single" w:sz="8" w:space="0" w:color="FFCE43"/>
          <w:left w:val="single" w:sz="8" w:space="0" w:color="FFCE43"/>
          <w:bottom w:val="single" w:sz="8" w:space="0" w:color="FFCE43"/>
          <w:right w:val="single" w:sz="8" w:space="0" w:color="FFCE43"/>
        </w:tcBorders>
      </w:tcPr>
    </w:tblStylePr>
  </w:style>
  <w:style w:type="table" w:customStyle="1" w:styleId="LightShading1">
    <w:name w:val="Light Shading1"/>
    <w:basedOn w:val="TableNormal"/>
    <w:next w:val="LightShading"/>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semiHidden/>
    <w:unhideWhenUsed/>
    <w:rsid w:val="0057062A"/>
    <w:pPr>
      <w:spacing w:after="0" w:line="240" w:lineRule="auto"/>
    </w:pPr>
    <w:rPr>
      <w:rFonts w:ascii="EC Square Sans Pro" w:eastAsia="Times New Roman" w:hAnsi="EC Square Sans Pro" w:cs="Times New Roman"/>
      <w:color w:val="564A8C"/>
      <w:kern w:val="0"/>
      <w:sz w:val="20"/>
      <w:szCs w:val="20"/>
      <w:lang w:val="en-GB" w:eastAsia="en-GB"/>
      <w14:ligatures w14:val="none"/>
    </w:rPr>
    <w:tblPr>
      <w:tblStyleRowBandSize w:val="1"/>
      <w:tblStyleColBandSize w:val="1"/>
      <w:tblBorders>
        <w:top w:val="single" w:sz="8" w:space="0" w:color="7A6DB2"/>
        <w:bottom w:val="single" w:sz="8" w:space="0" w:color="7A6DB2"/>
      </w:tblBorders>
    </w:tblPr>
    <w:tblStylePr w:type="firstRow">
      <w:pPr>
        <w:spacing w:before="0" w:after="0" w:line="240" w:lineRule="auto"/>
      </w:pPr>
      <w:rPr>
        <w:b/>
        <w:bCs/>
      </w:rPr>
      <w:tblPr/>
      <w:tcPr>
        <w:tcBorders>
          <w:top w:val="single" w:sz="8" w:space="0" w:color="7A6DB2"/>
          <w:left w:val="nil"/>
          <w:bottom w:val="single" w:sz="8" w:space="0" w:color="7A6DB2"/>
          <w:right w:val="nil"/>
          <w:insideH w:val="nil"/>
          <w:insideV w:val="nil"/>
        </w:tcBorders>
      </w:tcPr>
    </w:tblStylePr>
    <w:tblStylePr w:type="lastRow">
      <w:pPr>
        <w:spacing w:before="0" w:after="0" w:line="240" w:lineRule="auto"/>
      </w:pPr>
      <w:rPr>
        <w:b/>
        <w:bCs/>
      </w:rPr>
      <w:tblPr/>
      <w:tcPr>
        <w:tcBorders>
          <w:top w:val="single" w:sz="8" w:space="0" w:color="7A6DB2"/>
          <w:left w:val="nil"/>
          <w:bottom w:val="single" w:sz="8" w:space="0" w:color="7A6DB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EC"/>
      </w:tcPr>
    </w:tblStylePr>
    <w:tblStylePr w:type="band1Horz">
      <w:tblPr/>
      <w:tcPr>
        <w:tcBorders>
          <w:left w:val="nil"/>
          <w:right w:val="nil"/>
          <w:insideH w:val="nil"/>
          <w:insideV w:val="nil"/>
        </w:tcBorders>
        <w:shd w:val="clear" w:color="auto" w:fill="DDDAEC"/>
      </w:tcPr>
    </w:tblStylePr>
  </w:style>
  <w:style w:type="table" w:customStyle="1" w:styleId="LightShading-Accent21">
    <w:name w:val="Light Shading - Accent 21"/>
    <w:basedOn w:val="TableNormal"/>
    <w:next w:val="LightShading-Accent2"/>
    <w:semiHidden/>
    <w:unhideWhenUsed/>
    <w:rsid w:val="0057062A"/>
    <w:pPr>
      <w:spacing w:after="0" w:line="240" w:lineRule="auto"/>
    </w:pPr>
    <w:rPr>
      <w:rFonts w:ascii="EC Square Sans Pro" w:eastAsia="Times New Roman" w:hAnsi="EC Square Sans Pro" w:cs="Times New Roman"/>
      <w:color w:val="127A3D"/>
      <w:kern w:val="0"/>
      <w:sz w:val="20"/>
      <w:szCs w:val="20"/>
      <w:lang w:val="en-GB" w:eastAsia="en-GB"/>
      <w14:ligatures w14:val="none"/>
    </w:rPr>
    <w:tblPr>
      <w:tblStyleRowBandSize w:val="1"/>
      <w:tblStyleColBandSize w:val="1"/>
      <w:tblBorders>
        <w:top w:val="single" w:sz="8" w:space="0" w:color="18A453"/>
        <w:bottom w:val="single" w:sz="8" w:space="0" w:color="18A453"/>
      </w:tblBorders>
    </w:tblPr>
    <w:tblStylePr w:type="firstRow">
      <w:pPr>
        <w:spacing w:before="0" w:after="0" w:line="240" w:lineRule="auto"/>
      </w:pPr>
      <w:rPr>
        <w:b/>
        <w:bCs/>
      </w:rPr>
      <w:tblPr/>
      <w:tcPr>
        <w:tcBorders>
          <w:top w:val="single" w:sz="8" w:space="0" w:color="18A453"/>
          <w:left w:val="nil"/>
          <w:bottom w:val="single" w:sz="8" w:space="0" w:color="18A453"/>
          <w:right w:val="nil"/>
          <w:insideH w:val="nil"/>
          <w:insideV w:val="nil"/>
        </w:tcBorders>
      </w:tcPr>
    </w:tblStylePr>
    <w:tblStylePr w:type="lastRow">
      <w:pPr>
        <w:spacing w:before="0" w:after="0" w:line="240" w:lineRule="auto"/>
      </w:pPr>
      <w:rPr>
        <w:b/>
        <w:bCs/>
      </w:rPr>
      <w:tblPr/>
      <w:tcPr>
        <w:tcBorders>
          <w:top w:val="single" w:sz="8" w:space="0" w:color="18A453"/>
          <w:left w:val="nil"/>
          <w:bottom w:val="single" w:sz="8" w:space="0" w:color="18A45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4D2"/>
      </w:tcPr>
    </w:tblStylePr>
    <w:tblStylePr w:type="band1Horz">
      <w:tblPr/>
      <w:tcPr>
        <w:tcBorders>
          <w:left w:val="nil"/>
          <w:right w:val="nil"/>
          <w:insideH w:val="nil"/>
          <w:insideV w:val="nil"/>
        </w:tcBorders>
        <w:shd w:val="clear" w:color="auto" w:fill="B9F4D2"/>
      </w:tcPr>
    </w:tblStylePr>
  </w:style>
  <w:style w:type="table" w:customStyle="1" w:styleId="LightShading-Accent31">
    <w:name w:val="Light Shading - Accent 31"/>
    <w:basedOn w:val="TableNormal"/>
    <w:next w:val="LightShading-Accent3"/>
    <w:semiHidden/>
    <w:unhideWhenUsed/>
    <w:rsid w:val="0057062A"/>
    <w:pPr>
      <w:spacing w:after="0" w:line="240" w:lineRule="auto"/>
    </w:pPr>
    <w:rPr>
      <w:rFonts w:ascii="EC Square Sans Pro" w:eastAsia="Times New Roman" w:hAnsi="EC Square Sans Pro" w:cs="Times New Roman"/>
      <w:color w:val="D93B0B"/>
      <w:kern w:val="0"/>
      <w:sz w:val="20"/>
      <w:szCs w:val="20"/>
      <w:lang w:val="en-GB" w:eastAsia="en-GB"/>
      <w14:ligatures w14:val="none"/>
    </w:rPr>
    <w:tblPr>
      <w:tblStyleRowBandSize w:val="1"/>
      <w:tblStyleColBandSize w:val="1"/>
      <w:tblBorders>
        <w:top w:val="single" w:sz="8" w:space="0" w:color="F5693D"/>
        <w:bottom w:val="single" w:sz="8" w:space="0" w:color="F5693D"/>
      </w:tblBorders>
    </w:tblPr>
    <w:tblStylePr w:type="firstRow">
      <w:pPr>
        <w:spacing w:before="0" w:after="0" w:line="240" w:lineRule="auto"/>
      </w:pPr>
      <w:rPr>
        <w:b/>
        <w:bCs/>
      </w:rPr>
      <w:tblPr/>
      <w:tcPr>
        <w:tcBorders>
          <w:top w:val="single" w:sz="8" w:space="0" w:color="F5693D"/>
          <w:left w:val="nil"/>
          <w:bottom w:val="single" w:sz="8" w:space="0" w:color="F5693D"/>
          <w:right w:val="nil"/>
          <w:insideH w:val="nil"/>
          <w:insideV w:val="nil"/>
        </w:tcBorders>
      </w:tcPr>
    </w:tblStylePr>
    <w:tblStylePr w:type="lastRow">
      <w:pPr>
        <w:spacing w:before="0" w:after="0" w:line="240" w:lineRule="auto"/>
      </w:pPr>
      <w:rPr>
        <w:b/>
        <w:bCs/>
      </w:rPr>
      <w:tblPr/>
      <w:tcPr>
        <w:tcBorders>
          <w:top w:val="single" w:sz="8" w:space="0" w:color="F5693D"/>
          <w:left w:val="nil"/>
          <w:bottom w:val="single" w:sz="8" w:space="0" w:color="F5693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9CE"/>
      </w:tcPr>
    </w:tblStylePr>
    <w:tblStylePr w:type="band1Horz">
      <w:tblPr/>
      <w:tcPr>
        <w:tcBorders>
          <w:left w:val="nil"/>
          <w:right w:val="nil"/>
          <w:insideH w:val="nil"/>
          <w:insideV w:val="nil"/>
        </w:tcBorders>
        <w:shd w:val="clear" w:color="auto" w:fill="FCD9CE"/>
      </w:tcPr>
    </w:tblStylePr>
  </w:style>
  <w:style w:type="table" w:customStyle="1" w:styleId="LightShading-Accent41">
    <w:name w:val="Light Shading - Accent 41"/>
    <w:basedOn w:val="TableNormal"/>
    <w:next w:val="LightShading-Accent4"/>
    <w:semiHidden/>
    <w:unhideWhenUsed/>
    <w:rsid w:val="0057062A"/>
    <w:pPr>
      <w:spacing w:after="0" w:line="240" w:lineRule="auto"/>
    </w:pPr>
    <w:rPr>
      <w:rFonts w:ascii="EC Square Sans Pro" w:eastAsia="Times New Roman" w:hAnsi="EC Square Sans Pro" w:cs="Times New Roman"/>
      <w:color w:val="0F7BA8"/>
      <w:kern w:val="0"/>
      <w:sz w:val="20"/>
      <w:szCs w:val="20"/>
      <w:lang w:val="en-GB" w:eastAsia="en-GB"/>
      <w14:ligatures w14:val="none"/>
    </w:rPr>
    <w:tblPr>
      <w:tblStyleRowBandSize w:val="1"/>
      <w:tblStyleColBandSize w:val="1"/>
      <w:tblBorders>
        <w:top w:val="single" w:sz="8" w:space="0" w:color="14A6E1"/>
        <w:bottom w:val="single" w:sz="8" w:space="0" w:color="14A6E1"/>
      </w:tblBorders>
    </w:tblPr>
    <w:tblStylePr w:type="firstRow">
      <w:pPr>
        <w:spacing w:before="0" w:after="0" w:line="240" w:lineRule="auto"/>
      </w:pPr>
      <w:rPr>
        <w:b/>
        <w:bCs/>
      </w:rPr>
      <w:tblPr/>
      <w:tcPr>
        <w:tcBorders>
          <w:top w:val="single" w:sz="8" w:space="0" w:color="14A6E1"/>
          <w:left w:val="nil"/>
          <w:bottom w:val="single" w:sz="8" w:space="0" w:color="14A6E1"/>
          <w:right w:val="nil"/>
          <w:insideH w:val="nil"/>
          <w:insideV w:val="nil"/>
        </w:tcBorders>
      </w:tcPr>
    </w:tblStylePr>
    <w:tblStylePr w:type="lastRow">
      <w:pPr>
        <w:spacing w:before="0" w:after="0" w:line="240" w:lineRule="auto"/>
      </w:pPr>
      <w:rPr>
        <w:b/>
        <w:bCs/>
      </w:rPr>
      <w:tblPr/>
      <w:tcPr>
        <w:tcBorders>
          <w:top w:val="single" w:sz="8" w:space="0" w:color="14A6E1"/>
          <w:left w:val="nil"/>
          <w:bottom w:val="single" w:sz="8" w:space="0" w:color="14A6E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E9F9"/>
      </w:tcPr>
    </w:tblStylePr>
    <w:tblStylePr w:type="band1Horz">
      <w:tblPr/>
      <w:tcPr>
        <w:tcBorders>
          <w:left w:val="nil"/>
          <w:right w:val="nil"/>
          <w:insideH w:val="nil"/>
          <w:insideV w:val="nil"/>
        </w:tcBorders>
        <w:shd w:val="clear" w:color="auto" w:fill="C2E9F9"/>
      </w:tcPr>
    </w:tblStylePr>
  </w:style>
  <w:style w:type="table" w:customStyle="1" w:styleId="LightShading-Accent51">
    <w:name w:val="Light Shading - Accent 51"/>
    <w:basedOn w:val="TableNormal"/>
    <w:next w:val="LightShading-Accent5"/>
    <w:semiHidden/>
    <w:unhideWhenUsed/>
    <w:rsid w:val="0057062A"/>
    <w:pPr>
      <w:spacing w:after="0" w:line="240" w:lineRule="auto"/>
    </w:pPr>
    <w:rPr>
      <w:rFonts w:ascii="EC Square Sans Pro" w:eastAsia="Times New Roman" w:hAnsi="EC Square Sans Pro" w:cs="Times New Roman"/>
      <w:color w:val="18466E"/>
      <w:kern w:val="0"/>
      <w:sz w:val="20"/>
      <w:szCs w:val="20"/>
      <w:lang w:val="en-GB" w:eastAsia="en-GB"/>
      <w14:ligatures w14:val="none"/>
    </w:rPr>
    <w:tblPr>
      <w:tblStyleRowBandSize w:val="1"/>
      <w:tblStyleColBandSize w:val="1"/>
      <w:tblBorders>
        <w:top w:val="single" w:sz="8" w:space="0" w:color="215E94"/>
        <w:bottom w:val="single" w:sz="8" w:space="0" w:color="215E94"/>
      </w:tblBorders>
    </w:tblPr>
    <w:tblStylePr w:type="firstRow">
      <w:pPr>
        <w:spacing w:before="0" w:after="0" w:line="240" w:lineRule="auto"/>
      </w:pPr>
      <w:rPr>
        <w:b/>
        <w:bCs/>
      </w:rPr>
      <w:tblPr/>
      <w:tcPr>
        <w:tcBorders>
          <w:top w:val="single" w:sz="8" w:space="0" w:color="215E94"/>
          <w:left w:val="nil"/>
          <w:bottom w:val="single" w:sz="8" w:space="0" w:color="215E94"/>
          <w:right w:val="nil"/>
          <w:insideH w:val="nil"/>
          <w:insideV w:val="nil"/>
        </w:tcBorders>
      </w:tcPr>
    </w:tblStylePr>
    <w:tblStylePr w:type="lastRow">
      <w:pPr>
        <w:spacing w:before="0" w:after="0" w:line="240" w:lineRule="auto"/>
      </w:pPr>
      <w:rPr>
        <w:b/>
        <w:bCs/>
      </w:rPr>
      <w:tblPr/>
      <w:tcPr>
        <w:tcBorders>
          <w:top w:val="single" w:sz="8" w:space="0" w:color="215E94"/>
          <w:left w:val="nil"/>
          <w:bottom w:val="single" w:sz="8" w:space="0" w:color="215E9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D7F0"/>
      </w:tcPr>
    </w:tblStylePr>
    <w:tblStylePr w:type="band1Horz">
      <w:tblPr/>
      <w:tcPr>
        <w:tcBorders>
          <w:left w:val="nil"/>
          <w:right w:val="nil"/>
          <w:insideH w:val="nil"/>
          <w:insideV w:val="nil"/>
        </w:tcBorders>
        <w:shd w:val="clear" w:color="auto" w:fill="BCD7F0"/>
      </w:tcPr>
    </w:tblStylePr>
  </w:style>
  <w:style w:type="table" w:customStyle="1" w:styleId="LightShading-Accent61">
    <w:name w:val="Light Shading - Accent 61"/>
    <w:basedOn w:val="TableNormal"/>
    <w:next w:val="LightShading-Accent6"/>
    <w:semiHidden/>
    <w:unhideWhenUsed/>
    <w:rsid w:val="0057062A"/>
    <w:pPr>
      <w:spacing w:after="0" w:line="240" w:lineRule="auto"/>
    </w:pPr>
    <w:rPr>
      <w:rFonts w:ascii="EC Square Sans Pro" w:eastAsia="Times New Roman" w:hAnsi="EC Square Sans Pro" w:cs="Times New Roman"/>
      <w:color w:val="F1B100"/>
      <w:kern w:val="0"/>
      <w:sz w:val="20"/>
      <w:szCs w:val="20"/>
      <w:lang w:val="en-GB" w:eastAsia="en-GB"/>
      <w14:ligatures w14:val="none"/>
    </w:rPr>
    <w:tblPr>
      <w:tblStyleRowBandSize w:val="1"/>
      <w:tblStyleColBandSize w:val="1"/>
      <w:tblBorders>
        <w:top w:val="single" w:sz="8" w:space="0" w:color="FFCE43"/>
        <w:bottom w:val="single" w:sz="8" w:space="0" w:color="FFCE43"/>
      </w:tblBorders>
    </w:tblPr>
    <w:tblStylePr w:type="firstRow">
      <w:pPr>
        <w:spacing w:before="0" w:after="0" w:line="240" w:lineRule="auto"/>
      </w:pPr>
      <w:rPr>
        <w:b/>
        <w:bCs/>
      </w:rPr>
      <w:tblPr/>
      <w:tcPr>
        <w:tcBorders>
          <w:top w:val="single" w:sz="8" w:space="0" w:color="FFCE43"/>
          <w:left w:val="nil"/>
          <w:bottom w:val="single" w:sz="8" w:space="0" w:color="FFCE43"/>
          <w:right w:val="nil"/>
          <w:insideH w:val="nil"/>
          <w:insideV w:val="nil"/>
        </w:tcBorders>
      </w:tcPr>
    </w:tblStylePr>
    <w:tblStylePr w:type="lastRow">
      <w:pPr>
        <w:spacing w:before="0" w:after="0" w:line="240" w:lineRule="auto"/>
      </w:pPr>
      <w:rPr>
        <w:b/>
        <w:bCs/>
      </w:rPr>
      <w:tblPr/>
      <w:tcPr>
        <w:tcBorders>
          <w:top w:val="single" w:sz="8" w:space="0" w:color="FFCE43"/>
          <w:left w:val="nil"/>
          <w:bottom w:val="single" w:sz="8" w:space="0" w:color="FFCE4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D0"/>
      </w:tcPr>
    </w:tblStylePr>
    <w:tblStylePr w:type="band1Horz">
      <w:tblPr/>
      <w:tcPr>
        <w:tcBorders>
          <w:left w:val="nil"/>
          <w:right w:val="nil"/>
          <w:insideH w:val="nil"/>
          <w:insideV w:val="nil"/>
        </w:tcBorders>
        <w:shd w:val="clear" w:color="auto" w:fill="FFF2D0"/>
      </w:tcPr>
    </w:tblStylePr>
  </w:style>
  <w:style w:type="table" w:customStyle="1" w:styleId="ListTable1Light1">
    <w:name w:val="List Table 1 Light1"/>
    <w:basedOn w:val="TableNormal"/>
    <w:next w:val="ListTable1Light"/>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Pr>
    <w:tblStylePr w:type="firstRow">
      <w:rPr>
        <w:b/>
        <w:bCs/>
      </w:rPr>
      <w:tblPr/>
      <w:tcPr>
        <w:tcBorders>
          <w:bottom w:val="single" w:sz="4" w:space="0" w:color="AFA7D0"/>
        </w:tcBorders>
      </w:tcPr>
    </w:tblStylePr>
    <w:tblStylePr w:type="lastRow">
      <w:rPr>
        <w:b/>
        <w:bCs/>
      </w:rPr>
      <w:tblPr/>
      <w:tcPr>
        <w:tcBorders>
          <w:top w:val="single" w:sz="4" w:space="0" w:color="AFA7D0"/>
        </w:tcBorders>
      </w:tcPr>
    </w:tblStylePr>
    <w:tblStylePr w:type="firstCol">
      <w:rPr>
        <w:b/>
        <w:bCs/>
      </w:rPr>
    </w:tblStylePr>
    <w:tblStylePr w:type="lastCol">
      <w:rPr>
        <w:b/>
        <w:bCs/>
      </w:rPr>
    </w:tblStylePr>
    <w:tblStylePr w:type="band1Vert">
      <w:tblPr/>
      <w:tcPr>
        <w:shd w:val="clear" w:color="auto" w:fill="E4E1EF"/>
      </w:tcPr>
    </w:tblStylePr>
    <w:tblStylePr w:type="band1Horz">
      <w:tblPr/>
      <w:tcPr>
        <w:shd w:val="clear" w:color="auto" w:fill="E4E1EF"/>
      </w:tcPr>
    </w:tblStylePr>
  </w:style>
  <w:style w:type="table" w:customStyle="1" w:styleId="ListTable1Light-Accent21">
    <w:name w:val="List Table 1 Light - Accent 21"/>
    <w:basedOn w:val="TableNormal"/>
    <w:next w:val="ListTable1Light-Accent2"/>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Pr>
    <w:tblStylePr w:type="firstRow">
      <w:rPr>
        <w:b/>
        <w:bCs/>
      </w:rPr>
      <w:tblPr/>
      <w:tcPr>
        <w:tcBorders>
          <w:bottom w:val="single" w:sz="4" w:space="0" w:color="56E692"/>
        </w:tcBorders>
      </w:tcPr>
    </w:tblStylePr>
    <w:tblStylePr w:type="lastRow">
      <w:rPr>
        <w:b/>
        <w:bCs/>
      </w:rPr>
      <w:tblPr/>
      <w:tcPr>
        <w:tcBorders>
          <w:top w:val="single" w:sz="4" w:space="0" w:color="56E692"/>
        </w:tcBorders>
      </w:tcPr>
    </w:tblStylePr>
    <w:tblStylePr w:type="firstCol">
      <w:rPr>
        <w:b/>
        <w:bCs/>
      </w:rPr>
    </w:tblStylePr>
    <w:tblStylePr w:type="lastCol">
      <w:rPr>
        <w:b/>
        <w:bCs/>
      </w:rPr>
    </w:tblStylePr>
    <w:tblStylePr w:type="band1Vert">
      <w:tblPr/>
      <w:tcPr>
        <w:shd w:val="clear" w:color="auto" w:fill="C6F6DA"/>
      </w:tcPr>
    </w:tblStylePr>
    <w:tblStylePr w:type="band1Horz">
      <w:tblPr/>
      <w:tcPr>
        <w:shd w:val="clear" w:color="auto" w:fill="C6F6DA"/>
      </w:tcPr>
    </w:tblStylePr>
  </w:style>
  <w:style w:type="table" w:customStyle="1" w:styleId="ListTable1Light-Accent31">
    <w:name w:val="List Table 1 Light - Accent 31"/>
    <w:basedOn w:val="TableNormal"/>
    <w:next w:val="ListTable1Light-Accent3"/>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Pr>
    <w:tblStylePr w:type="firstRow">
      <w:rPr>
        <w:b/>
        <w:bCs/>
      </w:rPr>
      <w:tblPr/>
      <w:tcPr>
        <w:tcBorders>
          <w:bottom w:val="single" w:sz="4" w:space="0" w:color="F9A48A"/>
        </w:tcBorders>
      </w:tcPr>
    </w:tblStylePr>
    <w:tblStylePr w:type="lastRow">
      <w:rPr>
        <w:b/>
        <w:bCs/>
      </w:rPr>
      <w:tblPr/>
      <w:tcPr>
        <w:tcBorders>
          <w:top w:val="single" w:sz="4" w:space="0" w:color="F9A48A"/>
        </w:tcBorders>
      </w:tcPr>
    </w:tblStylePr>
    <w:tblStylePr w:type="firstCol">
      <w:rPr>
        <w:b/>
        <w:bCs/>
      </w:rPr>
    </w:tblStylePr>
    <w:tblStylePr w:type="lastCol">
      <w:rPr>
        <w:b/>
        <w:bCs/>
      </w:rPr>
    </w:tblStylePr>
    <w:tblStylePr w:type="band1Vert">
      <w:tblPr/>
      <w:tcPr>
        <w:shd w:val="clear" w:color="auto" w:fill="FDE0D8"/>
      </w:tcPr>
    </w:tblStylePr>
    <w:tblStylePr w:type="band1Horz">
      <w:tblPr/>
      <w:tcPr>
        <w:shd w:val="clear" w:color="auto" w:fill="FDE0D8"/>
      </w:tcPr>
    </w:tblStylePr>
  </w:style>
  <w:style w:type="table" w:customStyle="1" w:styleId="ListTable1Light-Accent41">
    <w:name w:val="List Table 1 Light - Accent 41"/>
    <w:basedOn w:val="TableNormal"/>
    <w:next w:val="ListTable1Light-Accent4"/>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Pr>
    <w:tblStylePr w:type="firstRow">
      <w:rPr>
        <w:b/>
        <w:bCs/>
      </w:rPr>
      <w:tblPr/>
      <w:tcPr>
        <w:tcBorders>
          <w:bottom w:val="single" w:sz="4" w:space="0" w:color="6CCBF2"/>
        </w:tcBorders>
      </w:tcPr>
    </w:tblStylePr>
    <w:tblStylePr w:type="lastRow">
      <w:rPr>
        <w:b/>
        <w:bCs/>
      </w:rPr>
      <w:tblPr/>
      <w:tcPr>
        <w:tcBorders>
          <w:top w:val="single" w:sz="4" w:space="0" w:color="6CCBF2"/>
        </w:tcBorders>
      </w:tcPr>
    </w:tblStylePr>
    <w:tblStylePr w:type="firstCol">
      <w:rPr>
        <w:b/>
        <w:bCs/>
      </w:rPr>
    </w:tblStylePr>
    <w:tblStylePr w:type="lastCol">
      <w:rPr>
        <w:b/>
        <w:bCs/>
      </w:rPr>
    </w:tblStylePr>
    <w:tblStylePr w:type="band1Vert">
      <w:tblPr/>
      <w:tcPr>
        <w:shd w:val="clear" w:color="auto" w:fill="CEEDFA"/>
      </w:tcPr>
    </w:tblStylePr>
    <w:tblStylePr w:type="band1Horz">
      <w:tblPr/>
      <w:tcPr>
        <w:shd w:val="clear" w:color="auto" w:fill="CEEDFA"/>
      </w:tcPr>
    </w:tblStylePr>
  </w:style>
  <w:style w:type="table" w:customStyle="1" w:styleId="ListTable1Light-Accent51">
    <w:name w:val="List Table 1 Light - Accent 51"/>
    <w:basedOn w:val="TableNormal"/>
    <w:next w:val="ListTable1Light-Accent5"/>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Pr>
    <w:tblStylePr w:type="firstRow">
      <w:rPr>
        <w:b/>
        <w:bCs/>
      </w:rPr>
      <w:tblPr/>
      <w:tcPr>
        <w:tcBorders>
          <w:bottom w:val="single" w:sz="4" w:space="0" w:color="5D9FDB"/>
        </w:tcBorders>
      </w:tcPr>
    </w:tblStylePr>
    <w:tblStylePr w:type="lastRow">
      <w:rPr>
        <w:b/>
        <w:bCs/>
      </w:rPr>
      <w:tblPr/>
      <w:tcPr>
        <w:tcBorders>
          <w:top w:val="single" w:sz="4" w:space="0" w:color="5D9FDB"/>
        </w:tcBorders>
      </w:tcPr>
    </w:tblStylePr>
    <w:tblStylePr w:type="firstCol">
      <w:rPr>
        <w:b/>
        <w:bCs/>
      </w:rPr>
    </w:tblStylePr>
    <w:tblStylePr w:type="lastCol">
      <w:rPr>
        <w:b/>
        <w:bCs/>
      </w:rPr>
    </w:tblStylePr>
    <w:tblStylePr w:type="band1Vert">
      <w:tblPr/>
      <w:tcPr>
        <w:shd w:val="clear" w:color="auto" w:fill="C9DFF3"/>
      </w:tcPr>
    </w:tblStylePr>
    <w:tblStylePr w:type="band1Horz">
      <w:tblPr/>
      <w:tcPr>
        <w:shd w:val="clear" w:color="auto" w:fill="C9DFF3"/>
      </w:tcPr>
    </w:tblStylePr>
  </w:style>
  <w:style w:type="table" w:customStyle="1" w:styleId="ListTable1Light-Accent61">
    <w:name w:val="List Table 1 Light - Accent 61"/>
    <w:basedOn w:val="TableNormal"/>
    <w:next w:val="ListTable1Light-Accent6"/>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Pr>
    <w:tblStylePr w:type="firstRow">
      <w:rPr>
        <w:b/>
        <w:bCs/>
      </w:rPr>
      <w:tblPr/>
      <w:tcPr>
        <w:tcBorders>
          <w:bottom w:val="single" w:sz="4" w:space="0" w:color="FFE18E"/>
        </w:tcBorders>
      </w:tcPr>
    </w:tblStylePr>
    <w:tblStylePr w:type="lastRow">
      <w:rPr>
        <w:b/>
        <w:bCs/>
      </w:rPr>
      <w:tblPr/>
      <w:tcPr>
        <w:tcBorders>
          <w:top w:val="single" w:sz="4" w:space="0" w:color="FFE18E"/>
        </w:tcBorders>
      </w:tcPr>
    </w:tblStylePr>
    <w:tblStylePr w:type="firstCol">
      <w:rPr>
        <w:b/>
        <w:bCs/>
      </w:rPr>
    </w:tblStylePr>
    <w:tblStylePr w:type="lastCol">
      <w:rPr>
        <w:b/>
        <w:bCs/>
      </w:rPr>
    </w:tblStylePr>
    <w:tblStylePr w:type="band1Vert">
      <w:tblPr/>
      <w:tcPr>
        <w:shd w:val="clear" w:color="auto" w:fill="FFF5D9"/>
      </w:tcPr>
    </w:tblStylePr>
    <w:tblStylePr w:type="band1Horz">
      <w:tblPr/>
      <w:tcPr>
        <w:shd w:val="clear" w:color="auto" w:fill="FFF5D9"/>
      </w:tcPr>
    </w:tblStylePr>
  </w:style>
  <w:style w:type="table" w:customStyle="1" w:styleId="ListTable21">
    <w:name w:val="List Table 21"/>
    <w:basedOn w:val="TableNormal"/>
    <w:next w:val="ListTable2"/>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AFA7D0"/>
        <w:bottom w:val="single" w:sz="4" w:space="0" w:color="AFA7D0"/>
        <w:insideH w:val="single" w:sz="4" w:space="0" w:color="AFA7D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1EF"/>
      </w:tcPr>
    </w:tblStylePr>
    <w:tblStylePr w:type="band1Horz">
      <w:tblPr/>
      <w:tcPr>
        <w:shd w:val="clear" w:color="auto" w:fill="E4E1EF"/>
      </w:tcPr>
    </w:tblStylePr>
  </w:style>
  <w:style w:type="table" w:customStyle="1" w:styleId="ListTable2-Accent21">
    <w:name w:val="List Table 2 - Accent 21"/>
    <w:basedOn w:val="TableNormal"/>
    <w:next w:val="ListTable2-Accent2"/>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56E692"/>
        <w:bottom w:val="single" w:sz="4" w:space="0" w:color="56E692"/>
        <w:insideH w:val="single" w:sz="4" w:space="0" w:color="56E692"/>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6DA"/>
      </w:tcPr>
    </w:tblStylePr>
    <w:tblStylePr w:type="band1Horz">
      <w:tblPr/>
      <w:tcPr>
        <w:shd w:val="clear" w:color="auto" w:fill="C6F6DA"/>
      </w:tcPr>
    </w:tblStylePr>
  </w:style>
  <w:style w:type="table" w:customStyle="1" w:styleId="ListTable2-Accent31">
    <w:name w:val="List Table 2 - Accent 31"/>
    <w:basedOn w:val="TableNormal"/>
    <w:next w:val="ListTable2-Accent3"/>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9A48A"/>
        <w:bottom w:val="single" w:sz="4" w:space="0" w:color="F9A48A"/>
        <w:insideH w:val="single" w:sz="4" w:space="0" w:color="F9A48A"/>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0D8"/>
      </w:tcPr>
    </w:tblStylePr>
    <w:tblStylePr w:type="band1Horz">
      <w:tblPr/>
      <w:tcPr>
        <w:shd w:val="clear" w:color="auto" w:fill="FDE0D8"/>
      </w:tcPr>
    </w:tblStylePr>
  </w:style>
  <w:style w:type="table" w:customStyle="1" w:styleId="ListTable2-Accent41">
    <w:name w:val="List Table 2 - Accent 41"/>
    <w:basedOn w:val="TableNormal"/>
    <w:next w:val="ListTable2-Accent4"/>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6CCBF2"/>
        <w:bottom w:val="single" w:sz="4" w:space="0" w:color="6CCBF2"/>
        <w:insideH w:val="single" w:sz="4" w:space="0" w:color="6CCBF2"/>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EDFA"/>
      </w:tcPr>
    </w:tblStylePr>
    <w:tblStylePr w:type="band1Horz">
      <w:tblPr/>
      <w:tcPr>
        <w:shd w:val="clear" w:color="auto" w:fill="CEEDFA"/>
      </w:tcPr>
    </w:tblStylePr>
  </w:style>
  <w:style w:type="table" w:customStyle="1" w:styleId="ListTable2-Accent51">
    <w:name w:val="List Table 2 - Accent 51"/>
    <w:basedOn w:val="TableNormal"/>
    <w:next w:val="ListTable2-Accent5"/>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5D9FDB"/>
        <w:bottom w:val="single" w:sz="4" w:space="0" w:color="5D9FDB"/>
        <w:insideH w:val="single" w:sz="4" w:space="0" w:color="5D9F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DFF3"/>
      </w:tcPr>
    </w:tblStylePr>
    <w:tblStylePr w:type="band1Horz">
      <w:tblPr/>
      <w:tcPr>
        <w:shd w:val="clear" w:color="auto" w:fill="C9DFF3"/>
      </w:tcPr>
    </w:tblStylePr>
  </w:style>
  <w:style w:type="table" w:customStyle="1" w:styleId="ListTable2-Accent61">
    <w:name w:val="List Table 2 - Accent 61"/>
    <w:basedOn w:val="TableNormal"/>
    <w:next w:val="ListTable2-Accent6"/>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E18E"/>
        <w:bottom w:val="single" w:sz="4" w:space="0" w:color="FFE18E"/>
        <w:insideH w:val="single" w:sz="4" w:space="0" w:color="FFE18E"/>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9"/>
      </w:tcPr>
    </w:tblStylePr>
    <w:tblStylePr w:type="band1Horz">
      <w:tblPr/>
      <w:tcPr>
        <w:shd w:val="clear" w:color="auto" w:fill="FFF5D9"/>
      </w:tcPr>
    </w:tblStylePr>
  </w:style>
  <w:style w:type="table" w:customStyle="1" w:styleId="ListTable31">
    <w:name w:val="List Table 31"/>
    <w:basedOn w:val="TableNormal"/>
    <w:next w:val="ListTable3"/>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7A6DB2"/>
        <w:left w:val="single" w:sz="4" w:space="0" w:color="7A6DB2"/>
        <w:bottom w:val="single" w:sz="4" w:space="0" w:color="7A6DB2"/>
        <w:right w:val="single" w:sz="4" w:space="0" w:color="7A6DB2"/>
      </w:tblBorders>
    </w:tblPr>
    <w:tblStylePr w:type="firstRow">
      <w:rPr>
        <w:b/>
        <w:bCs/>
        <w:color w:val="FFFFFF"/>
      </w:rPr>
      <w:tblPr/>
      <w:tcPr>
        <w:shd w:val="clear" w:color="auto" w:fill="7A6DB2"/>
      </w:tcPr>
    </w:tblStylePr>
    <w:tblStylePr w:type="lastRow">
      <w:rPr>
        <w:b/>
        <w:bCs/>
      </w:rPr>
      <w:tblPr/>
      <w:tcPr>
        <w:tcBorders>
          <w:top w:val="double" w:sz="4" w:space="0" w:color="7A6DB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A6DB2"/>
          <w:right w:val="single" w:sz="4" w:space="0" w:color="7A6DB2"/>
        </w:tcBorders>
      </w:tcPr>
    </w:tblStylePr>
    <w:tblStylePr w:type="band1Horz">
      <w:tblPr/>
      <w:tcPr>
        <w:tcBorders>
          <w:top w:val="single" w:sz="4" w:space="0" w:color="7A6DB2"/>
          <w:bottom w:val="single" w:sz="4" w:space="0" w:color="7A6DB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6DB2"/>
          <w:left w:val="nil"/>
        </w:tcBorders>
      </w:tcPr>
    </w:tblStylePr>
    <w:tblStylePr w:type="swCell">
      <w:tblPr/>
      <w:tcPr>
        <w:tcBorders>
          <w:top w:val="double" w:sz="4" w:space="0" w:color="7A6DB2"/>
          <w:right w:val="nil"/>
        </w:tcBorders>
      </w:tcPr>
    </w:tblStylePr>
  </w:style>
  <w:style w:type="table" w:customStyle="1" w:styleId="ListTable3-Accent21">
    <w:name w:val="List Table 3 - Accent 21"/>
    <w:basedOn w:val="TableNormal"/>
    <w:next w:val="ListTable3-Accent2"/>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18A453"/>
        <w:left w:val="single" w:sz="4" w:space="0" w:color="18A453"/>
        <w:bottom w:val="single" w:sz="4" w:space="0" w:color="18A453"/>
        <w:right w:val="single" w:sz="4" w:space="0" w:color="18A453"/>
      </w:tblBorders>
    </w:tblPr>
    <w:tblStylePr w:type="firstRow">
      <w:rPr>
        <w:b/>
        <w:bCs/>
        <w:color w:val="FFFFFF"/>
      </w:rPr>
      <w:tblPr/>
      <w:tcPr>
        <w:shd w:val="clear" w:color="auto" w:fill="18A453"/>
      </w:tcPr>
    </w:tblStylePr>
    <w:tblStylePr w:type="lastRow">
      <w:rPr>
        <w:b/>
        <w:bCs/>
      </w:rPr>
      <w:tblPr/>
      <w:tcPr>
        <w:tcBorders>
          <w:top w:val="double" w:sz="4" w:space="0" w:color="18A45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8A453"/>
          <w:right w:val="single" w:sz="4" w:space="0" w:color="18A453"/>
        </w:tcBorders>
      </w:tcPr>
    </w:tblStylePr>
    <w:tblStylePr w:type="band1Horz">
      <w:tblPr/>
      <w:tcPr>
        <w:tcBorders>
          <w:top w:val="single" w:sz="4" w:space="0" w:color="18A453"/>
          <w:bottom w:val="single" w:sz="4" w:space="0" w:color="18A45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A453"/>
          <w:left w:val="nil"/>
        </w:tcBorders>
      </w:tcPr>
    </w:tblStylePr>
    <w:tblStylePr w:type="swCell">
      <w:tblPr/>
      <w:tcPr>
        <w:tcBorders>
          <w:top w:val="double" w:sz="4" w:space="0" w:color="18A453"/>
          <w:right w:val="nil"/>
        </w:tcBorders>
      </w:tcPr>
    </w:tblStylePr>
  </w:style>
  <w:style w:type="table" w:customStyle="1" w:styleId="ListTable3-Accent31">
    <w:name w:val="List Table 3 - Accent 31"/>
    <w:basedOn w:val="TableNormal"/>
    <w:next w:val="ListTable3-Accent3"/>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5693D"/>
        <w:left w:val="single" w:sz="4" w:space="0" w:color="F5693D"/>
        <w:bottom w:val="single" w:sz="4" w:space="0" w:color="F5693D"/>
        <w:right w:val="single" w:sz="4" w:space="0" w:color="F5693D"/>
      </w:tblBorders>
    </w:tblPr>
    <w:tblStylePr w:type="firstRow">
      <w:rPr>
        <w:b/>
        <w:bCs/>
        <w:color w:val="FFFFFF"/>
      </w:rPr>
      <w:tblPr/>
      <w:tcPr>
        <w:shd w:val="clear" w:color="auto" w:fill="F5693D"/>
      </w:tcPr>
    </w:tblStylePr>
    <w:tblStylePr w:type="lastRow">
      <w:rPr>
        <w:b/>
        <w:bCs/>
      </w:rPr>
      <w:tblPr/>
      <w:tcPr>
        <w:tcBorders>
          <w:top w:val="double" w:sz="4" w:space="0" w:color="F5693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5693D"/>
          <w:right w:val="single" w:sz="4" w:space="0" w:color="F5693D"/>
        </w:tcBorders>
      </w:tcPr>
    </w:tblStylePr>
    <w:tblStylePr w:type="band1Horz">
      <w:tblPr/>
      <w:tcPr>
        <w:tcBorders>
          <w:top w:val="single" w:sz="4" w:space="0" w:color="F5693D"/>
          <w:bottom w:val="single" w:sz="4" w:space="0" w:color="F5693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93D"/>
          <w:left w:val="nil"/>
        </w:tcBorders>
      </w:tcPr>
    </w:tblStylePr>
    <w:tblStylePr w:type="swCell">
      <w:tblPr/>
      <w:tcPr>
        <w:tcBorders>
          <w:top w:val="double" w:sz="4" w:space="0" w:color="F5693D"/>
          <w:right w:val="nil"/>
        </w:tcBorders>
      </w:tcPr>
    </w:tblStylePr>
  </w:style>
  <w:style w:type="table" w:customStyle="1" w:styleId="ListTable3-Accent41">
    <w:name w:val="List Table 3 - Accent 41"/>
    <w:basedOn w:val="TableNormal"/>
    <w:next w:val="ListTable3-Accent4"/>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14A6E1"/>
        <w:left w:val="single" w:sz="4" w:space="0" w:color="14A6E1"/>
        <w:bottom w:val="single" w:sz="4" w:space="0" w:color="14A6E1"/>
        <w:right w:val="single" w:sz="4" w:space="0" w:color="14A6E1"/>
      </w:tblBorders>
    </w:tblPr>
    <w:tblStylePr w:type="firstRow">
      <w:rPr>
        <w:b/>
        <w:bCs/>
        <w:color w:val="FFFFFF"/>
      </w:rPr>
      <w:tblPr/>
      <w:tcPr>
        <w:shd w:val="clear" w:color="auto" w:fill="14A6E1"/>
      </w:tcPr>
    </w:tblStylePr>
    <w:tblStylePr w:type="lastRow">
      <w:rPr>
        <w:b/>
        <w:bCs/>
      </w:rPr>
      <w:tblPr/>
      <w:tcPr>
        <w:tcBorders>
          <w:top w:val="double" w:sz="4" w:space="0" w:color="14A6E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4A6E1"/>
          <w:right w:val="single" w:sz="4" w:space="0" w:color="14A6E1"/>
        </w:tcBorders>
      </w:tcPr>
    </w:tblStylePr>
    <w:tblStylePr w:type="band1Horz">
      <w:tblPr/>
      <w:tcPr>
        <w:tcBorders>
          <w:top w:val="single" w:sz="4" w:space="0" w:color="14A6E1"/>
          <w:bottom w:val="single" w:sz="4" w:space="0" w:color="14A6E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4A6E1"/>
          <w:left w:val="nil"/>
        </w:tcBorders>
      </w:tcPr>
    </w:tblStylePr>
    <w:tblStylePr w:type="swCell">
      <w:tblPr/>
      <w:tcPr>
        <w:tcBorders>
          <w:top w:val="double" w:sz="4" w:space="0" w:color="14A6E1"/>
          <w:right w:val="nil"/>
        </w:tcBorders>
      </w:tcPr>
    </w:tblStylePr>
  </w:style>
  <w:style w:type="table" w:customStyle="1" w:styleId="ListTable3-Accent51">
    <w:name w:val="List Table 3 - Accent 51"/>
    <w:basedOn w:val="TableNormal"/>
    <w:next w:val="ListTable3-Accent5"/>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215E94"/>
        <w:left w:val="single" w:sz="4" w:space="0" w:color="215E94"/>
        <w:bottom w:val="single" w:sz="4" w:space="0" w:color="215E94"/>
        <w:right w:val="single" w:sz="4" w:space="0" w:color="215E94"/>
      </w:tblBorders>
    </w:tblPr>
    <w:tblStylePr w:type="firstRow">
      <w:rPr>
        <w:b/>
        <w:bCs/>
        <w:color w:val="FFFFFF"/>
      </w:rPr>
      <w:tblPr/>
      <w:tcPr>
        <w:shd w:val="clear" w:color="auto" w:fill="215E94"/>
      </w:tcPr>
    </w:tblStylePr>
    <w:tblStylePr w:type="lastRow">
      <w:rPr>
        <w:b/>
        <w:bCs/>
      </w:rPr>
      <w:tblPr/>
      <w:tcPr>
        <w:tcBorders>
          <w:top w:val="double" w:sz="4" w:space="0" w:color="215E9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15E94"/>
          <w:right w:val="single" w:sz="4" w:space="0" w:color="215E94"/>
        </w:tcBorders>
      </w:tcPr>
    </w:tblStylePr>
    <w:tblStylePr w:type="band1Horz">
      <w:tblPr/>
      <w:tcPr>
        <w:tcBorders>
          <w:top w:val="single" w:sz="4" w:space="0" w:color="215E94"/>
          <w:bottom w:val="single" w:sz="4" w:space="0" w:color="215E9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5E94"/>
          <w:left w:val="nil"/>
        </w:tcBorders>
      </w:tcPr>
    </w:tblStylePr>
    <w:tblStylePr w:type="swCell">
      <w:tblPr/>
      <w:tcPr>
        <w:tcBorders>
          <w:top w:val="double" w:sz="4" w:space="0" w:color="215E94"/>
          <w:right w:val="nil"/>
        </w:tcBorders>
      </w:tcPr>
    </w:tblStylePr>
  </w:style>
  <w:style w:type="table" w:customStyle="1" w:styleId="ListTable3-Accent61">
    <w:name w:val="List Table 3 - Accent 61"/>
    <w:basedOn w:val="TableNormal"/>
    <w:next w:val="ListTable3-Accent6"/>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CE43"/>
        <w:left w:val="single" w:sz="4" w:space="0" w:color="FFCE43"/>
        <w:bottom w:val="single" w:sz="4" w:space="0" w:color="FFCE43"/>
        <w:right w:val="single" w:sz="4" w:space="0" w:color="FFCE43"/>
      </w:tblBorders>
    </w:tblPr>
    <w:tblStylePr w:type="firstRow">
      <w:rPr>
        <w:b/>
        <w:bCs/>
        <w:color w:val="FFFFFF"/>
      </w:rPr>
      <w:tblPr/>
      <w:tcPr>
        <w:shd w:val="clear" w:color="auto" w:fill="FFCE43"/>
      </w:tcPr>
    </w:tblStylePr>
    <w:tblStylePr w:type="lastRow">
      <w:rPr>
        <w:b/>
        <w:bCs/>
      </w:rPr>
      <w:tblPr/>
      <w:tcPr>
        <w:tcBorders>
          <w:top w:val="double" w:sz="4" w:space="0" w:color="FFCE4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E43"/>
          <w:right w:val="single" w:sz="4" w:space="0" w:color="FFCE43"/>
        </w:tcBorders>
      </w:tcPr>
    </w:tblStylePr>
    <w:tblStylePr w:type="band1Horz">
      <w:tblPr/>
      <w:tcPr>
        <w:tcBorders>
          <w:top w:val="single" w:sz="4" w:space="0" w:color="FFCE43"/>
          <w:bottom w:val="single" w:sz="4" w:space="0" w:color="FFCE4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E43"/>
          <w:left w:val="nil"/>
        </w:tcBorders>
      </w:tcPr>
    </w:tblStylePr>
    <w:tblStylePr w:type="swCell">
      <w:tblPr/>
      <w:tcPr>
        <w:tcBorders>
          <w:top w:val="double" w:sz="4" w:space="0" w:color="FFCE43"/>
          <w:right w:val="nil"/>
        </w:tcBorders>
      </w:tcPr>
    </w:tblStylePr>
  </w:style>
  <w:style w:type="table" w:customStyle="1" w:styleId="ListTable41">
    <w:name w:val="List Table 41"/>
    <w:basedOn w:val="TableNormal"/>
    <w:next w:val="ListTable4"/>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AFA7D0"/>
        <w:left w:val="single" w:sz="4" w:space="0" w:color="AFA7D0"/>
        <w:bottom w:val="single" w:sz="4" w:space="0" w:color="AFA7D0"/>
        <w:right w:val="single" w:sz="4" w:space="0" w:color="AFA7D0"/>
        <w:insideH w:val="single" w:sz="4" w:space="0" w:color="AFA7D0"/>
      </w:tblBorders>
    </w:tblPr>
    <w:tblStylePr w:type="firstRow">
      <w:rPr>
        <w:b/>
        <w:bCs/>
        <w:color w:val="FFFFFF"/>
      </w:rPr>
      <w:tblPr/>
      <w:tcPr>
        <w:tcBorders>
          <w:top w:val="single" w:sz="4" w:space="0" w:color="7A6DB2"/>
          <w:left w:val="single" w:sz="4" w:space="0" w:color="7A6DB2"/>
          <w:bottom w:val="single" w:sz="4" w:space="0" w:color="7A6DB2"/>
          <w:right w:val="single" w:sz="4" w:space="0" w:color="7A6DB2"/>
          <w:insideH w:val="nil"/>
        </w:tcBorders>
        <w:shd w:val="clear" w:color="auto" w:fill="7A6DB2"/>
      </w:tcPr>
    </w:tblStylePr>
    <w:tblStylePr w:type="lastRow">
      <w:rPr>
        <w:b/>
        <w:bCs/>
      </w:rPr>
      <w:tblPr/>
      <w:tcPr>
        <w:tcBorders>
          <w:top w:val="double" w:sz="4" w:space="0" w:color="AFA7D0"/>
        </w:tcBorders>
      </w:tcPr>
    </w:tblStylePr>
    <w:tblStylePr w:type="firstCol">
      <w:rPr>
        <w:b/>
        <w:bCs/>
      </w:rPr>
    </w:tblStylePr>
    <w:tblStylePr w:type="lastCol">
      <w:rPr>
        <w:b/>
        <w:bCs/>
      </w:rPr>
    </w:tblStylePr>
    <w:tblStylePr w:type="band1Vert">
      <w:tblPr/>
      <w:tcPr>
        <w:shd w:val="clear" w:color="auto" w:fill="E4E1EF"/>
      </w:tcPr>
    </w:tblStylePr>
    <w:tblStylePr w:type="band1Horz">
      <w:tblPr/>
      <w:tcPr>
        <w:shd w:val="clear" w:color="auto" w:fill="E4E1EF"/>
      </w:tcPr>
    </w:tblStylePr>
  </w:style>
  <w:style w:type="table" w:customStyle="1" w:styleId="ListTable4-Accent21">
    <w:name w:val="List Table 4 - Accent 21"/>
    <w:basedOn w:val="TableNormal"/>
    <w:next w:val="ListTable4-Accent2"/>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56E692"/>
        <w:left w:val="single" w:sz="4" w:space="0" w:color="56E692"/>
        <w:bottom w:val="single" w:sz="4" w:space="0" w:color="56E692"/>
        <w:right w:val="single" w:sz="4" w:space="0" w:color="56E692"/>
        <w:insideH w:val="single" w:sz="4" w:space="0" w:color="56E692"/>
      </w:tblBorders>
    </w:tblPr>
    <w:tblStylePr w:type="firstRow">
      <w:rPr>
        <w:b/>
        <w:bCs/>
        <w:color w:val="FFFFFF"/>
      </w:rPr>
      <w:tblPr/>
      <w:tcPr>
        <w:tcBorders>
          <w:top w:val="single" w:sz="4" w:space="0" w:color="18A453"/>
          <w:left w:val="single" w:sz="4" w:space="0" w:color="18A453"/>
          <w:bottom w:val="single" w:sz="4" w:space="0" w:color="18A453"/>
          <w:right w:val="single" w:sz="4" w:space="0" w:color="18A453"/>
          <w:insideH w:val="nil"/>
        </w:tcBorders>
        <w:shd w:val="clear" w:color="auto" w:fill="18A453"/>
      </w:tcPr>
    </w:tblStylePr>
    <w:tblStylePr w:type="lastRow">
      <w:rPr>
        <w:b/>
        <w:bCs/>
      </w:rPr>
      <w:tblPr/>
      <w:tcPr>
        <w:tcBorders>
          <w:top w:val="double" w:sz="4" w:space="0" w:color="56E692"/>
        </w:tcBorders>
      </w:tcPr>
    </w:tblStylePr>
    <w:tblStylePr w:type="firstCol">
      <w:rPr>
        <w:b/>
        <w:bCs/>
      </w:rPr>
    </w:tblStylePr>
    <w:tblStylePr w:type="lastCol">
      <w:rPr>
        <w:b/>
        <w:bCs/>
      </w:rPr>
    </w:tblStylePr>
    <w:tblStylePr w:type="band1Vert">
      <w:tblPr/>
      <w:tcPr>
        <w:shd w:val="clear" w:color="auto" w:fill="C6F6DA"/>
      </w:tcPr>
    </w:tblStylePr>
    <w:tblStylePr w:type="band1Horz">
      <w:tblPr/>
      <w:tcPr>
        <w:shd w:val="clear" w:color="auto" w:fill="C6F6DA"/>
      </w:tcPr>
    </w:tblStylePr>
  </w:style>
  <w:style w:type="table" w:customStyle="1" w:styleId="ListTable4-Accent31">
    <w:name w:val="List Table 4 - Accent 31"/>
    <w:basedOn w:val="TableNormal"/>
    <w:next w:val="ListTable4-Accent3"/>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9A48A"/>
        <w:left w:val="single" w:sz="4" w:space="0" w:color="F9A48A"/>
        <w:bottom w:val="single" w:sz="4" w:space="0" w:color="F9A48A"/>
        <w:right w:val="single" w:sz="4" w:space="0" w:color="F9A48A"/>
        <w:insideH w:val="single" w:sz="4" w:space="0" w:color="F9A48A"/>
      </w:tblBorders>
    </w:tblPr>
    <w:tblStylePr w:type="firstRow">
      <w:rPr>
        <w:b/>
        <w:bCs/>
        <w:color w:val="FFFFFF"/>
      </w:rPr>
      <w:tblPr/>
      <w:tcPr>
        <w:tcBorders>
          <w:top w:val="single" w:sz="4" w:space="0" w:color="F5693D"/>
          <w:left w:val="single" w:sz="4" w:space="0" w:color="F5693D"/>
          <w:bottom w:val="single" w:sz="4" w:space="0" w:color="F5693D"/>
          <w:right w:val="single" w:sz="4" w:space="0" w:color="F5693D"/>
          <w:insideH w:val="nil"/>
        </w:tcBorders>
        <w:shd w:val="clear" w:color="auto" w:fill="F5693D"/>
      </w:tcPr>
    </w:tblStylePr>
    <w:tblStylePr w:type="lastRow">
      <w:rPr>
        <w:b/>
        <w:bCs/>
      </w:rPr>
      <w:tblPr/>
      <w:tcPr>
        <w:tcBorders>
          <w:top w:val="double" w:sz="4" w:space="0" w:color="F9A48A"/>
        </w:tcBorders>
      </w:tcPr>
    </w:tblStylePr>
    <w:tblStylePr w:type="firstCol">
      <w:rPr>
        <w:b/>
        <w:bCs/>
      </w:rPr>
    </w:tblStylePr>
    <w:tblStylePr w:type="lastCol">
      <w:rPr>
        <w:b/>
        <w:bCs/>
      </w:rPr>
    </w:tblStylePr>
    <w:tblStylePr w:type="band1Vert">
      <w:tblPr/>
      <w:tcPr>
        <w:shd w:val="clear" w:color="auto" w:fill="FDE0D8"/>
      </w:tcPr>
    </w:tblStylePr>
    <w:tblStylePr w:type="band1Horz">
      <w:tblPr/>
      <w:tcPr>
        <w:shd w:val="clear" w:color="auto" w:fill="FDE0D8"/>
      </w:tcPr>
    </w:tblStylePr>
  </w:style>
  <w:style w:type="table" w:customStyle="1" w:styleId="ListTable4-Accent41">
    <w:name w:val="List Table 4 - Accent 41"/>
    <w:basedOn w:val="TableNormal"/>
    <w:next w:val="ListTable4-Accent4"/>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6CCBF2"/>
        <w:left w:val="single" w:sz="4" w:space="0" w:color="6CCBF2"/>
        <w:bottom w:val="single" w:sz="4" w:space="0" w:color="6CCBF2"/>
        <w:right w:val="single" w:sz="4" w:space="0" w:color="6CCBF2"/>
        <w:insideH w:val="single" w:sz="4" w:space="0" w:color="6CCBF2"/>
      </w:tblBorders>
    </w:tblPr>
    <w:tblStylePr w:type="firstRow">
      <w:rPr>
        <w:b/>
        <w:bCs/>
        <w:color w:val="FFFFFF"/>
      </w:rPr>
      <w:tblPr/>
      <w:tcPr>
        <w:tcBorders>
          <w:top w:val="single" w:sz="4" w:space="0" w:color="14A6E1"/>
          <w:left w:val="single" w:sz="4" w:space="0" w:color="14A6E1"/>
          <w:bottom w:val="single" w:sz="4" w:space="0" w:color="14A6E1"/>
          <w:right w:val="single" w:sz="4" w:space="0" w:color="14A6E1"/>
          <w:insideH w:val="nil"/>
        </w:tcBorders>
        <w:shd w:val="clear" w:color="auto" w:fill="14A6E1"/>
      </w:tcPr>
    </w:tblStylePr>
    <w:tblStylePr w:type="lastRow">
      <w:rPr>
        <w:b/>
        <w:bCs/>
      </w:rPr>
      <w:tblPr/>
      <w:tcPr>
        <w:tcBorders>
          <w:top w:val="double" w:sz="4" w:space="0" w:color="6CCBF2"/>
        </w:tcBorders>
      </w:tcPr>
    </w:tblStylePr>
    <w:tblStylePr w:type="firstCol">
      <w:rPr>
        <w:b/>
        <w:bCs/>
      </w:rPr>
    </w:tblStylePr>
    <w:tblStylePr w:type="lastCol">
      <w:rPr>
        <w:b/>
        <w:bCs/>
      </w:rPr>
    </w:tblStylePr>
    <w:tblStylePr w:type="band1Vert">
      <w:tblPr/>
      <w:tcPr>
        <w:shd w:val="clear" w:color="auto" w:fill="CEEDFA"/>
      </w:tcPr>
    </w:tblStylePr>
    <w:tblStylePr w:type="band1Horz">
      <w:tblPr/>
      <w:tcPr>
        <w:shd w:val="clear" w:color="auto" w:fill="CEEDFA"/>
      </w:tcPr>
    </w:tblStylePr>
  </w:style>
  <w:style w:type="table" w:customStyle="1" w:styleId="ListTable4-Accent51">
    <w:name w:val="List Table 4 - Accent 51"/>
    <w:basedOn w:val="TableNormal"/>
    <w:next w:val="ListTable4-Accent5"/>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5D9FDB"/>
        <w:left w:val="single" w:sz="4" w:space="0" w:color="5D9FDB"/>
        <w:bottom w:val="single" w:sz="4" w:space="0" w:color="5D9FDB"/>
        <w:right w:val="single" w:sz="4" w:space="0" w:color="5D9FDB"/>
        <w:insideH w:val="single" w:sz="4" w:space="0" w:color="5D9FDB"/>
      </w:tblBorders>
    </w:tblPr>
    <w:tblStylePr w:type="firstRow">
      <w:rPr>
        <w:b/>
        <w:bCs/>
        <w:color w:val="FFFFFF"/>
      </w:rPr>
      <w:tblPr/>
      <w:tcPr>
        <w:tcBorders>
          <w:top w:val="single" w:sz="4" w:space="0" w:color="215E94"/>
          <w:left w:val="single" w:sz="4" w:space="0" w:color="215E94"/>
          <w:bottom w:val="single" w:sz="4" w:space="0" w:color="215E94"/>
          <w:right w:val="single" w:sz="4" w:space="0" w:color="215E94"/>
          <w:insideH w:val="nil"/>
        </w:tcBorders>
        <w:shd w:val="clear" w:color="auto" w:fill="215E94"/>
      </w:tcPr>
    </w:tblStylePr>
    <w:tblStylePr w:type="lastRow">
      <w:rPr>
        <w:b/>
        <w:bCs/>
      </w:rPr>
      <w:tblPr/>
      <w:tcPr>
        <w:tcBorders>
          <w:top w:val="double" w:sz="4" w:space="0" w:color="5D9FDB"/>
        </w:tcBorders>
      </w:tcPr>
    </w:tblStylePr>
    <w:tblStylePr w:type="firstCol">
      <w:rPr>
        <w:b/>
        <w:bCs/>
      </w:rPr>
    </w:tblStylePr>
    <w:tblStylePr w:type="lastCol">
      <w:rPr>
        <w:b/>
        <w:bCs/>
      </w:rPr>
    </w:tblStylePr>
    <w:tblStylePr w:type="band1Vert">
      <w:tblPr/>
      <w:tcPr>
        <w:shd w:val="clear" w:color="auto" w:fill="C9DFF3"/>
      </w:tcPr>
    </w:tblStylePr>
    <w:tblStylePr w:type="band1Horz">
      <w:tblPr/>
      <w:tcPr>
        <w:shd w:val="clear" w:color="auto" w:fill="C9DFF3"/>
      </w:tcPr>
    </w:tblStylePr>
  </w:style>
  <w:style w:type="table" w:customStyle="1" w:styleId="ListTable4-Accent61">
    <w:name w:val="List Table 4 - Accent 61"/>
    <w:basedOn w:val="TableNormal"/>
    <w:next w:val="ListTable4-Accent6"/>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FFE18E"/>
        <w:left w:val="single" w:sz="4" w:space="0" w:color="FFE18E"/>
        <w:bottom w:val="single" w:sz="4" w:space="0" w:color="FFE18E"/>
        <w:right w:val="single" w:sz="4" w:space="0" w:color="FFE18E"/>
        <w:insideH w:val="single" w:sz="4" w:space="0" w:color="FFE18E"/>
      </w:tblBorders>
    </w:tblPr>
    <w:tblStylePr w:type="firstRow">
      <w:rPr>
        <w:b/>
        <w:bCs/>
        <w:color w:val="FFFFFF"/>
      </w:rPr>
      <w:tblPr/>
      <w:tcPr>
        <w:tcBorders>
          <w:top w:val="single" w:sz="4" w:space="0" w:color="FFCE43"/>
          <w:left w:val="single" w:sz="4" w:space="0" w:color="FFCE43"/>
          <w:bottom w:val="single" w:sz="4" w:space="0" w:color="FFCE43"/>
          <w:right w:val="single" w:sz="4" w:space="0" w:color="FFCE43"/>
          <w:insideH w:val="nil"/>
        </w:tcBorders>
        <w:shd w:val="clear" w:color="auto" w:fill="FFCE43"/>
      </w:tcPr>
    </w:tblStylePr>
    <w:tblStylePr w:type="lastRow">
      <w:rPr>
        <w:b/>
        <w:bCs/>
      </w:rPr>
      <w:tblPr/>
      <w:tcPr>
        <w:tcBorders>
          <w:top w:val="double" w:sz="4" w:space="0" w:color="FFE18E"/>
        </w:tcBorders>
      </w:tcPr>
    </w:tblStylePr>
    <w:tblStylePr w:type="firstCol">
      <w:rPr>
        <w:b/>
        <w:bCs/>
      </w:rPr>
    </w:tblStylePr>
    <w:tblStylePr w:type="lastCol">
      <w:rPr>
        <w:b/>
        <w:bCs/>
      </w:rPr>
    </w:tblStylePr>
    <w:tblStylePr w:type="band1Vert">
      <w:tblPr/>
      <w:tcPr>
        <w:shd w:val="clear" w:color="auto" w:fill="FFF5D9"/>
      </w:tcPr>
    </w:tblStylePr>
    <w:tblStylePr w:type="band1Horz">
      <w:tblPr/>
      <w:tcPr>
        <w:shd w:val="clear" w:color="auto" w:fill="FFF5D9"/>
      </w:tcPr>
    </w:tblStylePr>
  </w:style>
  <w:style w:type="table" w:customStyle="1" w:styleId="ListTable5Dark1">
    <w:name w:val="List Table 5 Dark1"/>
    <w:basedOn w:val="TableNormal"/>
    <w:next w:val="ListTable5Dark"/>
    <w:rsid w:val="0057062A"/>
    <w:pPr>
      <w:spacing w:before="240"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rsid w:val="0057062A"/>
    <w:pPr>
      <w:spacing w:before="240"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Borders>
        <w:top w:val="single" w:sz="24" w:space="0" w:color="7A6DB2"/>
        <w:left w:val="single" w:sz="24" w:space="0" w:color="7A6DB2"/>
        <w:bottom w:val="single" w:sz="24" w:space="0" w:color="7A6DB2"/>
        <w:right w:val="single" w:sz="24" w:space="0" w:color="7A6DB2"/>
      </w:tblBorders>
    </w:tblPr>
    <w:tcPr>
      <w:shd w:val="clear" w:color="auto" w:fill="7A6DB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rsid w:val="0057062A"/>
    <w:pPr>
      <w:spacing w:before="240"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Borders>
        <w:top w:val="single" w:sz="24" w:space="0" w:color="18A453"/>
        <w:left w:val="single" w:sz="24" w:space="0" w:color="18A453"/>
        <w:bottom w:val="single" w:sz="24" w:space="0" w:color="18A453"/>
        <w:right w:val="single" w:sz="24" w:space="0" w:color="18A453"/>
      </w:tblBorders>
    </w:tblPr>
    <w:tcPr>
      <w:shd w:val="clear" w:color="auto" w:fill="18A45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rsid w:val="0057062A"/>
    <w:pPr>
      <w:spacing w:before="240"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Borders>
        <w:top w:val="single" w:sz="24" w:space="0" w:color="F5693D"/>
        <w:left w:val="single" w:sz="24" w:space="0" w:color="F5693D"/>
        <w:bottom w:val="single" w:sz="24" w:space="0" w:color="F5693D"/>
        <w:right w:val="single" w:sz="24" w:space="0" w:color="F5693D"/>
      </w:tblBorders>
    </w:tblPr>
    <w:tcPr>
      <w:shd w:val="clear" w:color="auto" w:fill="F5693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rsid w:val="0057062A"/>
    <w:pPr>
      <w:spacing w:before="240"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Borders>
        <w:top w:val="single" w:sz="24" w:space="0" w:color="14A6E1"/>
        <w:left w:val="single" w:sz="24" w:space="0" w:color="14A6E1"/>
        <w:bottom w:val="single" w:sz="24" w:space="0" w:color="14A6E1"/>
        <w:right w:val="single" w:sz="24" w:space="0" w:color="14A6E1"/>
      </w:tblBorders>
    </w:tblPr>
    <w:tcPr>
      <w:shd w:val="clear" w:color="auto" w:fill="14A6E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rsid w:val="0057062A"/>
    <w:pPr>
      <w:spacing w:before="240"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Borders>
        <w:top w:val="single" w:sz="24" w:space="0" w:color="215E94"/>
        <w:left w:val="single" w:sz="24" w:space="0" w:color="215E94"/>
        <w:bottom w:val="single" w:sz="24" w:space="0" w:color="215E94"/>
        <w:right w:val="single" w:sz="24" w:space="0" w:color="215E94"/>
      </w:tblBorders>
    </w:tblPr>
    <w:tcPr>
      <w:shd w:val="clear" w:color="auto" w:fill="215E9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rsid w:val="0057062A"/>
    <w:pPr>
      <w:spacing w:before="240" w:after="0" w:line="240" w:lineRule="auto"/>
    </w:pPr>
    <w:rPr>
      <w:rFonts w:ascii="EC Square Sans Pro" w:eastAsia="Times New Roman" w:hAnsi="EC Square Sans Pro" w:cs="Times New Roman"/>
      <w:color w:val="FFFFFF"/>
      <w:kern w:val="0"/>
      <w:sz w:val="20"/>
      <w:szCs w:val="20"/>
      <w:lang w:val="en-GB" w:eastAsia="en-GB"/>
      <w14:ligatures w14:val="none"/>
    </w:rPr>
    <w:tblPr>
      <w:tblStyleRowBandSize w:val="1"/>
      <w:tblStyleColBandSize w:val="1"/>
      <w:tblBorders>
        <w:top w:val="single" w:sz="24" w:space="0" w:color="FFCE43"/>
        <w:left w:val="single" w:sz="24" w:space="0" w:color="FFCE43"/>
        <w:bottom w:val="single" w:sz="24" w:space="0" w:color="FFCE43"/>
        <w:right w:val="single" w:sz="24" w:space="0" w:color="FFCE43"/>
      </w:tblBorders>
    </w:tblPr>
    <w:tcPr>
      <w:shd w:val="clear" w:color="auto" w:fill="FFCE4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rsid w:val="0057062A"/>
    <w:pPr>
      <w:spacing w:before="240"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rsid w:val="0057062A"/>
    <w:pPr>
      <w:spacing w:before="240" w:after="0" w:line="240" w:lineRule="auto"/>
    </w:pPr>
    <w:rPr>
      <w:rFonts w:ascii="EC Square Sans Pro" w:eastAsia="Times New Roman" w:hAnsi="EC Square Sans Pro" w:cs="Times New Roman"/>
      <w:color w:val="564A8C"/>
      <w:kern w:val="0"/>
      <w:sz w:val="20"/>
      <w:szCs w:val="20"/>
      <w:lang w:val="en-GB" w:eastAsia="en-GB"/>
      <w14:ligatures w14:val="none"/>
    </w:rPr>
    <w:tblPr>
      <w:tblStyleRowBandSize w:val="1"/>
      <w:tblStyleColBandSize w:val="1"/>
      <w:tblBorders>
        <w:top w:val="single" w:sz="4" w:space="0" w:color="7A6DB2"/>
        <w:bottom w:val="single" w:sz="4" w:space="0" w:color="7A6DB2"/>
      </w:tblBorders>
    </w:tblPr>
    <w:tblStylePr w:type="firstRow">
      <w:rPr>
        <w:b/>
        <w:bCs/>
      </w:rPr>
      <w:tblPr/>
      <w:tcPr>
        <w:tcBorders>
          <w:bottom w:val="single" w:sz="4" w:space="0" w:color="7A6DB2"/>
        </w:tcBorders>
      </w:tcPr>
    </w:tblStylePr>
    <w:tblStylePr w:type="lastRow">
      <w:rPr>
        <w:b/>
        <w:bCs/>
      </w:rPr>
      <w:tblPr/>
      <w:tcPr>
        <w:tcBorders>
          <w:top w:val="double" w:sz="4" w:space="0" w:color="7A6DB2"/>
        </w:tcBorders>
      </w:tcPr>
    </w:tblStylePr>
    <w:tblStylePr w:type="firstCol">
      <w:rPr>
        <w:b/>
        <w:bCs/>
      </w:rPr>
    </w:tblStylePr>
    <w:tblStylePr w:type="lastCol">
      <w:rPr>
        <w:b/>
        <w:bCs/>
      </w:rPr>
    </w:tblStylePr>
    <w:tblStylePr w:type="band1Vert">
      <w:tblPr/>
      <w:tcPr>
        <w:shd w:val="clear" w:color="auto" w:fill="E4E1EF"/>
      </w:tcPr>
    </w:tblStylePr>
    <w:tblStylePr w:type="band1Horz">
      <w:tblPr/>
      <w:tcPr>
        <w:shd w:val="clear" w:color="auto" w:fill="E4E1EF"/>
      </w:tcPr>
    </w:tblStylePr>
  </w:style>
  <w:style w:type="table" w:customStyle="1" w:styleId="ListTable6Colorful-Accent21">
    <w:name w:val="List Table 6 Colorful - Accent 21"/>
    <w:basedOn w:val="TableNormal"/>
    <w:next w:val="ListTable6Colorful-Accent2"/>
    <w:rsid w:val="0057062A"/>
    <w:pPr>
      <w:spacing w:before="240" w:after="0" w:line="240" w:lineRule="auto"/>
    </w:pPr>
    <w:rPr>
      <w:rFonts w:ascii="EC Square Sans Pro" w:eastAsia="Times New Roman" w:hAnsi="EC Square Sans Pro" w:cs="Times New Roman"/>
      <w:color w:val="127A3D"/>
      <w:kern w:val="0"/>
      <w:sz w:val="20"/>
      <w:szCs w:val="20"/>
      <w:lang w:val="en-GB" w:eastAsia="en-GB"/>
      <w14:ligatures w14:val="none"/>
    </w:rPr>
    <w:tblPr>
      <w:tblStyleRowBandSize w:val="1"/>
      <w:tblStyleColBandSize w:val="1"/>
      <w:tblBorders>
        <w:top w:val="single" w:sz="4" w:space="0" w:color="18A453"/>
        <w:bottom w:val="single" w:sz="4" w:space="0" w:color="18A453"/>
      </w:tblBorders>
    </w:tblPr>
    <w:tblStylePr w:type="firstRow">
      <w:rPr>
        <w:b/>
        <w:bCs/>
      </w:rPr>
      <w:tblPr/>
      <w:tcPr>
        <w:tcBorders>
          <w:bottom w:val="single" w:sz="4" w:space="0" w:color="18A453"/>
        </w:tcBorders>
      </w:tcPr>
    </w:tblStylePr>
    <w:tblStylePr w:type="lastRow">
      <w:rPr>
        <w:b/>
        <w:bCs/>
      </w:rPr>
      <w:tblPr/>
      <w:tcPr>
        <w:tcBorders>
          <w:top w:val="double" w:sz="4" w:space="0" w:color="18A453"/>
        </w:tcBorders>
      </w:tcPr>
    </w:tblStylePr>
    <w:tblStylePr w:type="firstCol">
      <w:rPr>
        <w:b/>
        <w:bCs/>
      </w:rPr>
    </w:tblStylePr>
    <w:tblStylePr w:type="lastCol">
      <w:rPr>
        <w:b/>
        <w:bCs/>
      </w:rPr>
    </w:tblStylePr>
    <w:tblStylePr w:type="band1Vert">
      <w:tblPr/>
      <w:tcPr>
        <w:shd w:val="clear" w:color="auto" w:fill="C6F6DA"/>
      </w:tcPr>
    </w:tblStylePr>
    <w:tblStylePr w:type="band1Horz">
      <w:tblPr/>
      <w:tcPr>
        <w:shd w:val="clear" w:color="auto" w:fill="C6F6DA"/>
      </w:tcPr>
    </w:tblStylePr>
  </w:style>
  <w:style w:type="table" w:customStyle="1" w:styleId="ListTable6Colorful-Accent31">
    <w:name w:val="List Table 6 Colorful - Accent 31"/>
    <w:basedOn w:val="TableNormal"/>
    <w:next w:val="ListTable6Colorful-Accent3"/>
    <w:rsid w:val="0057062A"/>
    <w:pPr>
      <w:spacing w:before="240" w:after="0" w:line="240" w:lineRule="auto"/>
    </w:pPr>
    <w:rPr>
      <w:rFonts w:ascii="EC Square Sans Pro" w:eastAsia="Times New Roman" w:hAnsi="EC Square Sans Pro" w:cs="Times New Roman"/>
      <w:color w:val="D93B0B"/>
      <w:kern w:val="0"/>
      <w:sz w:val="20"/>
      <w:szCs w:val="20"/>
      <w:lang w:val="en-GB" w:eastAsia="en-GB"/>
      <w14:ligatures w14:val="none"/>
    </w:rPr>
    <w:tblPr>
      <w:tblStyleRowBandSize w:val="1"/>
      <w:tblStyleColBandSize w:val="1"/>
      <w:tblBorders>
        <w:top w:val="single" w:sz="4" w:space="0" w:color="F5693D"/>
        <w:bottom w:val="single" w:sz="4" w:space="0" w:color="F5693D"/>
      </w:tblBorders>
    </w:tblPr>
    <w:tblStylePr w:type="firstRow">
      <w:rPr>
        <w:b/>
        <w:bCs/>
      </w:rPr>
      <w:tblPr/>
      <w:tcPr>
        <w:tcBorders>
          <w:bottom w:val="single" w:sz="4" w:space="0" w:color="F5693D"/>
        </w:tcBorders>
      </w:tcPr>
    </w:tblStylePr>
    <w:tblStylePr w:type="lastRow">
      <w:rPr>
        <w:b/>
        <w:bCs/>
      </w:rPr>
      <w:tblPr/>
      <w:tcPr>
        <w:tcBorders>
          <w:top w:val="double" w:sz="4" w:space="0" w:color="F5693D"/>
        </w:tcBorders>
      </w:tcPr>
    </w:tblStylePr>
    <w:tblStylePr w:type="firstCol">
      <w:rPr>
        <w:b/>
        <w:bCs/>
      </w:rPr>
    </w:tblStylePr>
    <w:tblStylePr w:type="lastCol">
      <w:rPr>
        <w:b/>
        <w:bCs/>
      </w:rPr>
    </w:tblStylePr>
    <w:tblStylePr w:type="band1Vert">
      <w:tblPr/>
      <w:tcPr>
        <w:shd w:val="clear" w:color="auto" w:fill="FDE0D8"/>
      </w:tcPr>
    </w:tblStylePr>
    <w:tblStylePr w:type="band1Horz">
      <w:tblPr/>
      <w:tcPr>
        <w:shd w:val="clear" w:color="auto" w:fill="FDE0D8"/>
      </w:tcPr>
    </w:tblStylePr>
  </w:style>
  <w:style w:type="table" w:customStyle="1" w:styleId="ListTable6Colorful-Accent41">
    <w:name w:val="List Table 6 Colorful - Accent 41"/>
    <w:basedOn w:val="TableNormal"/>
    <w:next w:val="ListTable6Colorful-Accent4"/>
    <w:rsid w:val="0057062A"/>
    <w:pPr>
      <w:spacing w:before="240" w:after="0" w:line="240" w:lineRule="auto"/>
    </w:pPr>
    <w:rPr>
      <w:rFonts w:ascii="EC Square Sans Pro" w:eastAsia="Times New Roman" w:hAnsi="EC Square Sans Pro" w:cs="Times New Roman"/>
      <w:color w:val="0F7BA8"/>
      <w:kern w:val="0"/>
      <w:sz w:val="20"/>
      <w:szCs w:val="20"/>
      <w:lang w:val="en-GB" w:eastAsia="en-GB"/>
      <w14:ligatures w14:val="none"/>
    </w:rPr>
    <w:tblPr>
      <w:tblStyleRowBandSize w:val="1"/>
      <w:tblStyleColBandSize w:val="1"/>
      <w:tblBorders>
        <w:top w:val="single" w:sz="4" w:space="0" w:color="14A6E1"/>
        <w:bottom w:val="single" w:sz="4" w:space="0" w:color="14A6E1"/>
      </w:tblBorders>
    </w:tblPr>
    <w:tblStylePr w:type="firstRow">
      <w:rPr>
        <w:b/>
        <w:bCs/>
      </w:rPr>
      <w:tblPr/>
      <w:tcPr>
        <w:tcBorders>
          <w:bottom w:val="single" w:sz="4" w:space="0" w:color="14A6E1"/>
        </w:tcBorders>
      </w:tcPr>
    </w:tblStylePr>
    <w:tblStylePr w:type="lastRow">
      <w:rPr>
        <w:b/>
        <w:bCs/>
      </w:rPr>
      <w:tblPr/>
      <w:tcPr>
        <w:tcBorders>
          <w:top w:val="double" w:sz="4" w:space="0" w:color="14A6E1"/>
        </w:tcBorders>
      </w:tcPr>
    </w:tblStylePr>
    <w:tblStylePr w:type="firstCol">
      <w:rPr>
        <w:b/>
        <w:bCs/>
      </w:rPr>
    </w:tblStylePr>
    <w:tblStylePr w:type="lastCol">
      <w:rPr>
        <w:b/>
        <w:bCs/>
      </w:rPr>
    </w:tblStylePr>
    <w:tblStylePr w:type="band1Vert">
      <w:tblPr/>
      <w:tcPr>
        <w:shd w:val="clear" w:color="auto" w:fill="CEEDFA"/>
      </w:tcPr>
    </w:tblStylePr>
    <w:tblStylePr w:type="band1Horz">
      <w:tblPr/>
      <w:tcPr>
        <w:shd w:val="clear" w:color="auto" w:fill="CEEDFA"/>
      </w:tcPr>
    </w:tblStylePr>
  </w:style>
  <w:style w:type="table" w:customStyle="1" w:styleId="ListTable6Colorful-Accent51">
    <w:name w:val="List Table 6 Colorful - Accent 51"/>
    <w:basedOn w:val="TableNormal"/>
    <w:next w:val="ListTable6Colorful-Accent5"/>
    <w:rsid w:val="0057062A"/>
    <w:pPr>
      <w:spacing w:before="240" w:after="0" w:line="240" w:lineRule="auto"/>
    </w:pPr>
    <w:rPr>
      <w:rFonts w:ascii="EC Square Sans Pro" w:eastAsia="Times New Roman" w:hAnsi="EC Square Sans Pro" w:cs="Times New Roman"/>
      <w:color w:val="18466E"/>
      <w:kern w:val="0"/>
      <w:sz w:val="20"/>
      <w:szCs w:val="20"/>
      <w:lang w:val="en-GB" w:eastAsia="en-GB"/>
      <w14:ligatures w14:val="none"/>
    </w:rPr>
    <w:tblPr>
      <w:tblStyleRowBandSize w:val="1"/>
      <w:tblStyleColBandSize w:val="1"/>
      <w:tblBorders>
        <w:top w:val="single" w:sz="4" w:space="0" w:color="215E94"/>
        <w:bottom w:val="single" w:sz="4" w:space="0" w:color="215E94"/>
      </w:tblBorders>
    </w:tblPr>
    <w:tblStylePr w:type="firstRow">
      <w:rPr>
        <w:b/>
        <w:bCs/>
      </w:rPr>
      <w:tblPr/>
      <w:tcPr>
        <w:tcBorders>
          <w:bottom w:val="single" w:sz="4" w:space="0" w:color="215E94"/>
        </w:tcBorders>
      </w:tcPr>
    </w:tblStylePr>
    <w:tblStylePr w:type="lastRow">
      <w:rPr>
        <w:b/>
        <w:bCs/>
      </w:rPr>
      <w:tblPr/>
      <w:tcPr>
        <w:tcBorders>
          <w:top w:val="double" w:sz="4" w:space="0" w:color="215E94"/>
        </w:tcBorders>
      </w:tcPr>
    </w:tblStylePr>
    <w:tblStylePr w:type="firstCol">
      <w:rPr>
        <w:b/>
        <w:bCs/>
      </w:rPr>
    </w:tblStylePr>
    <w:tblStylePr w:type="lastCol">
      <w:rPr>
        <w:b/>
        <w:bCs/>
      </w:rPr>
    </w:tblStylePr>
    <w:tblStylePr w:type="band1Vert">
      <w:tblPr/>
      <w:tcPr>
        <w:shd w:val="clear" w:color="auto" w:fill="C9DFF3"/>
      </w:tcPr>
    </w:tblStylePr>
    <w:tblStylePr w:type="band1Horz">
      <w:tblPr/>
      <w:tcPr>
        <w:shd w:val="clear" w:color="auto" w:fill="C9DFF3"/>
      </w:tcPr>
    </w:tblStylePr>
  </w:style>
  <w:style w:type="table" w:customStyle="1" w:styleId="ListTable6Colorful-Accent61">
    <w:name w:val="List Table 6 Colorful - Accent 61"/>
    <w:basedOn w:val="TableNormal"/>
    <w:next w:val="ListTable6Colorful-Accent6"/>
    <w:rsid w:val="0057062A"/>
    <w:pPr>
      <w:spacing w:before="240" w:after="0" w:line="240" w:lineRule="auto"/>
    </w:pPr>
    <w:rPr>
      <w:rFonts w:ascii="EC Square Sans Pro" w:eastAsia="Times New Roman" w:hAnsi="EC Square Sans Pro" w:cs="Times New Roman"/>
      <w:color w:val="F1B100"/>
      <w:kern w:val="0"/>
      <w:sz w:val="20"/>
      <w:szCs w:val="20"/>
      <w:lang w:val="en-GB" w:eastAsia="en-GB"/>
      <w14:ligatures w14:val="none"/>
    </w:rPr>
    <w:tblPr>
      <w:tblStyleRowBandSize w:val="1"/>
      <w:tblStyleColBandSize w:val="1"/>
      <w:tblBorders>
        <w:top w:val="single" w:sz="4" w:space="0" w:color="FFCE43"/>
        <w:bottom w:val="single" w:sz="4" w:space="0" w:color="FFCE43"/>
      </w:tblBorders>
    </w:tblPr>
    <w:tblStylePr w:type="firstRow">
      <w:rPr>
        <w:b/>
        <w:bCs/>
      </w:rPr>
      <w:tblPr/>
      <w:tcPr>
        <w:tcBorders>
          <w:bottom w:val="single" w:sz="4" w:space="0" w:color="FFCE43"/>
        </w:tcBorders>
      </w:tcPr>
    </w:tblStylePr>
    <w:tblStylePr w:type="lastRow">
      <w:rPr>
        <w:b/>
        <w:bCs/>
      </w:rPr>
      <w:tblPr/>
      <w:tcPr>
        <w:tcBorders>
          <w:top w:val="double" w:sz="4" w:space="0" w:color="FFCE43"/>
        </w:tcBorders>
      </w:tcPr>
    </w:tblStylePr>
    <w:tblStylePr w:type="firstCol">
      <w:rPr>
        <w:b/>
        <w:bCs/>
      </w:rPr>
    </w:tblStylePr>
    <w:tblStylePr w:type="lastCol">
      <w:rPr>
        <w:b/>
        <w:bCs/>
      </w:rPr>
    </w:tblStylePr>
    <w:tblStylePr w:type="band1Vert">
      <w:tblPr/>
      <w:tcPr>
        <w:shd w:val="clear" w:color="auto" w:fill="FFF5D9"/>
      </w:tcPr>
    </w:tblStylePr>
    <w:tblStylePr w:type="band1Horz">
      <w:tblPr/>
      <w:tcPr>
        <w:shd w:val="clear" w:color="auto" w:fill="FFF5D9"/>
      </w:tcPr>
    </w:tblStylePr>
  </w:style>
  <w:style w:type="table" w:customStyle="1" w:styleId="ListTable7Colorful1">
    <w:name w:val="List Table 7 Colorful1"/>
    <w:basedOn w:val="TableNormal"/>
    <w:next w:val="ListTable7Colorful"/>
    <w:rsid w:val="0057062A"/>
    <w:pPr>
      <w:spacing w:before="240"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rsid w:val="0057062A"/>
    <w:pPr>
      <w:spacing w:before="240" w:after="0" w:line="240" w:lineRule="auto"/>
    </w:pPr>
    <w:rPr>
      <w:rFonts w:ascii="EC Square Sans Pro" w:eastAsia="Times New Roman" w:hAnsi="EC Square Sans Pro" w:cs="Times New Roman"/>
      <w:color w:val="564A8C"/>
      <w:kern w:val="0"/>
      <w:sz w:val="20"/>
      <w:szCs w:val="20"/>
      <w:lang w:val="en-GB" w:eastAsia="en-GB"/>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A6DB2"/>
        </w:tcBorders>
        <w:shd w:val="clear" w:color="auto" w:fill="FFFFFF"/>
      </w:tcPr>
    </w:tblStylePr>
    <w:tblStylePr w:type="lastRow">
      <w:rPr>
        <w:rFonts w:ascii="Calibri Light" w:eastAsia="Times New Roman" w:hAnsi="Calibri Light" w:cs="Times New Roman"/>
        <w:i/>
        <w:iCs/>
        <w:sz w:val="26"/>
      </w:rPr>
      <w:tblPr/>
      <w:tcPr>
        <w:tcBorders>
          <w:top w:val="single" w:sz="4" w:space="0" w:color="7A6DB2"/>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A6DB2"/>
        </w:tcBorders>
        <w:shd w:val="clear" w:color="auto" w:fill="FFFFFF"/>
      </w:tcPr>
    </w:tblStylePr>
    <w:tblStylePr w:type="lastCol">
      <w:rPr>
        <w:rFonts w:ascii="Calibri Light" w:eastAsia="Times New Roman" w:hAnsi="Calibri Light" w:cs="Times New Roman"/>
        <w:i/>
        <w:iCs/>
        <w:sz w:val="26"/>
      </w:rPr>
      <w:tblPr/>
      <w:tcPr>
        <w:tcBorders>
          <w:left w:val="single" w:sz="4" w:space="0" w:color="7A6DB2"/>
        </w:tcBorders>
        <w:shd w:val="clear" w:color="auto" w:fill="FFFFFF"/>
      </w:tcPr>
    </w:tblStylePr>
    <w:tblStylePr w:type="band1Vert">
      <w:tblPr/>
      <w:tcPr>
        <w:shd w:val="clear" w:color="auto" w:fill="E4E1EF"/>
      </w:tcPr>
    </w:tblStylePr>
    <w:tblStylePr w:type="band1Horz">
      <w:tblPr/>
      <w:tcPr>
        <w:shd w:val="clear" w:color="auto" w:fill="E4E1E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rsid w:val="0057062A"/>
    <w:pPr>
      <w:spacing w:before="240" w:after="0" w:line="240" w:lineRule="auto"/>
    </w:pPr>
    <w:rPr>
      <w:rFonts w:ascii="EC Square Sans Pro" w:eastAsia="Times New Roman" w:hAnsi="EC Square Sans Pro" w:cs="Times New Roman"/>
      <w:color w:val="127A3D"/>
      <w:kern w:val="0"/>
      <w:sz w:val="20"/>
      <w:szCs w:val="20"/>
      <w:lang w:val="en-GB" w:eastAsia="en-GB"/>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18A453"/>
        </w:tcBorders>
        <w:shd w:val="clear" w:color="auto" w:fill="FFFFFF"/>
      </w:tcPr>
    </w:tblStylePr>
    <w:tblStylePr w:type="lastRow">
      <w:rPr>
        <w:rFonts w:ascii="Calibri Light" w:eastAsia="Times New Roman" w:hAnsi="Calibri Light" w:cs="Times New Roman"/>
        <w:i/>
        <w:iCs/>
        <w:sz w:val="26"/>
      </w:rPr>
      <w:tblPr/>
      <w:tcPr>
        <w:tcBorders>
          <w:top w:val="single" w:sz="4" w:space="0" w:color="18A453"/>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18A453"/>
        </w:tcBorders>
        <w:shd w:val="clear" w:color="auto" w:fill="FFFFFF"/>
      </w:tcPr>
    </w:tblStylePr>
    <w:tblStylePr w:type="lastCol">
      <w:rPr>
        <w:rFonts w:ascii="Calibri Light" w:eastAsia="Times New Roman" w:hAnsi="Calibri Light" w:cs="Times New Roman"/>
        <w:i/>
        <w:iCs/>
        <w:sz w:val="26"/>
      </w:rPr>
      <w:tblPr/>
      <w:tcPr>
        <w:tcBorders>
          <w:left w:val="single" w:sz="4" w:space="0" w:color="18A453"/>
        </w:tcBorders>
        <w:shd w:val="clear" w:color="auto" w:fill="FFFFFF"/>
      </w:tcPr>
    </w:tblStylePr>
    <w:tblStylePr w:type="band1Vert">
      <w:tblPr/>
      <w:tcPr>
        <w:shd w:val="clear" w:color="auto" w:fill="C6F6DA"/>
      </w:tcPr>
    </w:tblStylePr>
    <w:tblStylePr w:type="band1Horz">
      <w:tblPr/>
      <w:tcPr>
        <w:shd w:val="clear" w:color="auto" w:fill="C6F6D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rsid w:val="0057062A"/>
    <w:pPr>
      <w:spacing w:before="240" w:after="0" w:line="240" w:lineRule="auto"/>
    </w:pPr>
    <w:rPr>
      <w:rFonts w:ascii="EC Square Sans Pro" w:eastAsia="Times New Roman" w:hAnsi="EC Square Sans Pro" w:cs="Times New Roman"/>
      <w:color w:val="D93B0B"/>
      <w:kern w:val="0"/>
      <w:sz w:val="20"/>
      <w:szCs w:val="20"/>
      <w:lang w:val="en-GB" w:eastAsia="en-GB"/>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5693D"/>
        </w:tcBorders>
        <w:shd w:val="clear" w:color="auto" w:fill="FFFFFF"/>
      </w:tcPr>
    </w:tblStylePr>
    <w:tblStylePr w:type="lastRow">
      <w:rPr>
        <w:rFonts w:ascii="Calibri Light" w:eastAsia="Times New Roman" w:hAnsi="Calibri Light" w:cs="Times New Roman"/>
        <w:i/>
        <w:iCs/>
        <w:sz w:val="26"/>
      </w:rPr>
      <w:tblPr/>
      <w:tcPr>
        <w:tcBorders>
          <w:top w:val="single" w:sz="4" w:space="0" w:color="F5693D"/>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5693D"/>
        </w:tcBorders>
        <w:shd w:val="clear" w:color="auto" w:fill="FFFFFF"/>
      </w:tcPr>
    </w:tblStylePr>
    <w:tblStylePr w:type="lastCol">
      <w:rPr>
        <w:rFonts w:ascii="Calibri Light" w:eastAsia="Times New Roman" w:hAnsi="Calibri Light" w:cs="Times New Roman"/>
        <w:i/>
        <w:iCs/>
        <w:sz w:val="26"/>
      </w:rPr>
      <w:tblPr/>
      <w:tcPr>
        <w:tcBorders>
          <w:left w:val="single" w:sz="4" w:space="0" w:color="F5693D"/>
        </w:tcBorders>
        <w:shd w:val="clear" w:color="auto" w:fill="FFFFFF"/>
      </w:tcPr>
    </w:tblStylePr>
    <w:tblStylePr w:type="band1Vert">
      <w:tblPr/>
      <w:tcPr>
        <w:shd w:val="clear" w:color="auto" w:fill="FDE0D8"/>
      </w:tcPr>
    </w:tblStylePr>
    <w:tblStylePr w:type="band1Horz">
      <w:tblPr/>
      <w:tcPr>
        <w:shd w:val="clear" w:color="auto" w:fill="FDE0D8"/>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rsid w:val="0057062A"/>
    <w:pPr>
      <w:spacing w:before="240" w:after="0" w:line="240" w:lineRule="auto"/>
    </w:pPr>
    <w:rPr>
      <w:rFonts w:ascii="EC Square Sans Pro" w:eastAsia="Times New Roman" w:hAnsi="EC Square Sans Pro" w:cs="Times New Roman"/>
      <w:color w:val="0F7BA8"/>
      <w:kern w:val="0"/>
      <w:sz w:val="20"/>
      <w:szCs w:val="20"/>
      <w:lang w:val="en-GB" w:eastAsia="en-GB"/>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14A6E1"/>
        </w:tcBorders>
        <w:shd w:val="clear" w:color="auto" w:fill="FFFFFF"/>
      </w:tcPr>
    </w:tblStylePr>
    <w:tblStylePr w:type="lastRow">
      <w:rPr>
        <w:rFonts w:ascii="Calibri Light" w:eastAsia="Times New Roman" w:hAnsi="Calibri Light" w:cs="Times New Roman"/>
        <w:i/>
        <w:iCs/>
        <w:sz w:val="26"/>
      </w:rPr>
      <w:tblPr/>
      <w:tcPr>
        <w:tcBorders>
          <w:top w:val="single" w:sz="4" w:space="0" w:color="14A6E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14A6E1"/>
        </w:tcBorders>
        <w:shd w:val="clear" w:color="auto" w:fill="FFFFFF"/>
      </w:tcPr>
    </w:tblStylePr>
    <w:tblStylePr w:type="lastCol">
      <w:rPr>
        <w:rFonts w:ascii="Calibri Light" w:eastAsia="Times New Roman" w:hAnsi="Calibri Light" w:cs="Times New Roman"/>
        <w:i/>
        <w:iCs/>
        <w:sz w:val="26"/>
      </w:rPr>
      <w:tblPr/>
      <w:tcPr>
        <w:tcBorders>
          <w:left w:val="single" w:sz="4" w:space="0" w:color="14A6E1"/>
        </w:tcBorders>
        <w:shd w:val="clear" w:color="auto" w:fill="FFFFFF"/>
      </w:tcPr>
    </w:tblStylePr>
    <w:tblStylePr w:type="band1Vert">
      <w:tblPr/>
      <w:tcPr>
        <w:shd w:val="clear" w:color="auto" w:fill="CEEDFA"/>
      </w:tcPr>
    </w:tblStylePr>
    <w:tblStylePr w:type="band1Horz">
      <w:tblPr/>
      <w:tcPr>
        <w:shd w:val="clear" w:color="auto" w:fill="CEEDFA"/>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rsid w:val="0057062A"/>
    <w:pPr>
      <w:spacing w:before="240" w:after="0" w:line="240" w:lineRule="auto"/>
    </w:pPr>
    <w:rPr>
      <w:rFonts w:ascii="EC Square Sans Pro" w:eastAsia="Times New Roman" w:hAnsi="EC Square Sans Pro" w:cs="Times New Roman"/>
      <w:color w:val="18466E"/>
      <w:kern w:val="0"/>
      <w:sz w:val="20"/>
      <w:szCs w:val="20"/>
      <w:lang w:val="en-GB" w:eastAsia="en-GB"/>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215E94"/>
        </w:tcBorders>
        <w:shd w:val="clear" w:color="auto" w:fill="FFFFFF"/>
      </w:tcPr>
    </w:tblStylePr>
    <w:tblStylePr w:type="lastRow">
      <w:rPr>
        <w:rFonts w:ascii="Calibri Light" w:eastAsia="Times New Roman" w:hAnsi="Calibri Light" w:cs="Times New Roman"/>
        <w:i/>
        <w:iCs/>
        <w:sz w:val="26"/>
      </w:rPr>
      <w:tblPr/>
      <w:tcPr>
        <w:tcBorders>
          <w:top w:val="single" w:sz="4" w:space="0" w:color="215E9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215E94"/>
        </w:tcBorders>
        <w:shd w:val="clear" w:color="auto" w:fill="FFFFFF"/>
      </w:tcPr>
    </w:tblStylePr>
    <w:tblStylePr w:type="lastCol">
      <w:rPr>
        <w:rFonts w:ascii="Calibri Light" w:eastAsia="Times New Roman" w:hAnsi="Calibri Light" w:cs="Times New Roman"/>
        <w:i/>
        <w:iCs/>
        <w:sz w:val="26"/>
      </w:rPr>
      <w:tblPr/>
      <w:tcPr>
        <w:tcBorders>
          <w:left w:val="single" w:sz="4" w:space="0" w:color="215E94"/>
        </w:tcBorders>
        <w:shd w:val="clear" w:color="auto" w:fill="FFFFFF"/>
      </w:tcPr>
    </w:tblStylePr>
    <w:tblStylePr w:type="band1Vert">
      <w:tblPr/>
      <w:tcPr>
        <w:shd w:val="clear" w:color="auto" w:fill="C9DFF3"/>
      </w:tcPr>
    </w:tblStylePr>
    <w:tblStylePr w:type="band1Horz">
      <w:tblPr/>
      <w:tcPr>
        <w:shd w:val="clear" w:color="auto" w:fill="C9DF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rsid w:val="0057062A"/>
    <w:pPr>
      <w:spacing w:before="240" w:after="0" w:line="240" w:lineRule="auto"/>
    </w:pPr>
    <w:rPr>
      <w:rFonts w:ascii="EC Square Sans Pro" w:eastAsia="Times New Roman" w:hAnsi="EC Square Sans Pro" w:cs="Times New Roman"/>
      <w:color w:val="F1B100"/>
      <w:kern w:val="0"/>
      <w:sz w:val="20"/>
      <w:szCs w:val="20"/>
      <w:lang w:val="en-GB" w:eastAsia="en-GB"/>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E43"/>
        </w:tcBorders>
        <w:shd w:val="clear" w:color="auto" w:fill="FFFFFF"/>
      </w:tcPr>
    </w:tblStylePr>
    <w:tblStylePr w:type="lastRow">
      <w:rPr>
        <w:rFonts w:ascii="Calibri Light" w:eastAsia="Times New Roman" w:hAnsi="Calibri Light" w:cs="Times New Roman"/>
        <w:i/>
        <w:iCs/>
        <w:sz w:val="26"/>
      </w:rPr>
      <w:tblPr/>
      <w:tcPr>
        <w:tcBorders>
          <w:top w:val="single" w:sz="4" w:space="0" w:color="FFCE43"/>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E43"/>
        </w:tcBorders>
        <w:shd w:val="clear" w:color="auto" w:fill="FFFFFF"/>
      </w:tcPr>
    </w:tblStylePr>
    <w:tblStylePr w:type="lastCol">
      <w:rPr>
        <w:rFonts w:ascii="Calibri Light" w:eastAsia="Times New Roman" w:hAnsi="Calibri Light" w:cs="Times New Roman"/>
        <w:i/>
        <w:iCs/>
        <w:sz w:val="26"/>
      </w:rPr>
      <w:tblPr/>
      <w:tcPr>
        <w:tcBorders>
          <w:left w:val="single" w:sz="4" w:space="0" w:color="FFCE43"/>
        </w:tcBorders>
        <w:shd w:val="clear" w:color="auto" w:fill="FFFFFF"/>
      </w:tcPr>
    </w:tblStylePr>
    <w:tblStylePr w:type="band1Vert">
      <w:tblPr/>
      <w:tcPr>
        <w:shd w:val="clear" w:color="auto" w:fill="FFF5D9"/>
      </w:tcPr>
    </w:tblStylePr>
    <w:tblStylePr w:type="band1Horz">
      <w:tblPr/>
      <w:tcPr>
        <w:shd w:val="clear" w:color="auto" w:fill="FFF5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Normal"/>
    <w:next w:val="MediumGrid1"/>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9B91C5"/>
        <w:left w:val="single" w:sz="8" w:space="0" w:color="9B91C5"/>
        <w:bottom w:val="single" w:sz="8" w:space="0" w:color="9B91C5"/>
        <w:right w:val="single" w:sz="8" w:space="0" w:color="9B91C5"/>
        <w:insideH w:val="single" w:sz="8" w:space="0" w:color="9B91C5"/>
        <w:insideV w:val="single" w:sz="8" w:space="0" w:color="9B91C5"/>
      </w:tblBorders>
    </w:tblPr>
    <w:tcPr>
      <w:shd w:val="clear" w:color="auto" w:fill="DDDAEC"/>
    </w:tcPr>
    <w:tblStylePr w:type="firstRow">
      <w:rPr>
        <w:b/>
        <w:bCs/>
      </w:rPr>
    </w:tblStylePr>
    <w:tblStylePr w:type="lastRow">
      <w:rPr>
        <w:b/>
        <w:bCs/>
      </w:rPr>
      <w:tblPr/>
      <w:tcPr>
        <w:tcBorders>
          <w:top w:val="single" w:sz="18" w:space="0" w:color="9B91C5"/>
        </w:tcBorders>
      </w:tcPr>
    </w:tblStylePr>
    <w:tblStylePr w:type="firstCol">
      <w:rPr>
        <w:b/>
        <w:bCs/>
      </w:rPr>
    </w:tblStylePr>
    <w:tblStylePr w:type="lastCol">
      <w:rPr>
        <w:b/>
        <w:bCs/>
      </w:rPr>
    </w:tblStylePr>
    <w:tblStylePr w:type="band1Vert">
      <w:tblPr/>
      <w:tcPr>
        <w:shd w:val="clear" w:color="auto" w:fill="BCB6D8"/>
      </w:tcPr>
    </w:tblStylePr>
    <w:tblStylePr w:type="band1Horz">
      <w:tblPr/>
      <w:tcPr>
        <w:shd w:val="clear" w:color="auto" w:fill="BCB6D8"/>
      </w:tcPr>
    </w:tblStylePr>
  </w:style>
  <w:style w:type="table" w:customStyle="1" w:styleId="MediumGrid1-Accent22">
    <w:name w:val="Medium Grid 1 - Accent 22"/>
    <w:basedOn w:val="TableNormal"/>
    <w:next w:val="MediumGrid1-Accent2"/>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2CE077"/>
        <w:left w:val="single" w:sz="8" w:space="0" w:color="2CE077"/>
        <w:bottom w:val="single" w:sz="8" w:space="0" w:color="2CE077"/>
        <w:right w:val="single" w:sz="8" w:space="0" w:color="2CE077"/>
        <w:insideH w:val="single" w:sz="8" w:space="0" w:color="2CE077"/>
        <w:insideV w:val="single" w:sz="8" w:space="0" w:color="2CE077"/>
      </w:tblBorders>
    </w:tblPr>
    <w:tcPr>
      <w:shd w:val="clear" w:color="auto" w:fill="B9F4D2"/>
    </w:tcPr>
    <w:tblStylePr w:type="firstRow">
      <w:rPr>
        <w:b/>
        <w:bCs/>
      </w:rPr>
    </w:tblStylePr>
    <w:tblStylePr w:type="lastRow">
      <w:rPr>
        <w:b/>
        <w:bCs/>
      </w:rPr>
      <w:tblPr/>
      <w:tcPr>
        <w:tcBorders>
          <w:top w:val="single" w:sz="18" w:space="0" w:color="2CE077"/>
        </w:tcBorders>
      </w:tcPr>
    </w:tblStylePr>
    <w:tblStylePr w:type="firstCol">
      <w:rPr>
        <w:b/>
        <w:bCs/>
      </w:rPr>
    </w:tblStylePr>
    <w:tblStylePr w:type="lastCol">
      <w:rPr>
        <w:b/>
        <w:bCs/>
      </w:rPr>
    </w:tblStylePr>
    <w:tblStylePr w:type="band1Vert">
      <w:tblPr/>
      <w:tcPr>
        <w:shd w:val="clear" w:color="auto" w:fill="72EAA5"/>
      </w:tcPr>
    </w:tblStylePr>
    <w:tblStylePr w:type="band1Horz">
      <w:tblPr/>
      <w:tcPr>
        <w:shd w:val="clear" w:color="auto" w:fill="72EAA5"/>
      </w:tcPr>
    </w:tblStylePr>
  </w:style>
  <w:style w:type="table" w:customStyle="1" w:styleId="MediumGrid1-Accent31">
    <w:name w:val="Medium Grid 1 - Accent 31"/>
    <w:basedOn w:val="TableNormal"/>
    <w:next w:val="MediumGrid1-Accent3"/>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78D6D"/>
        <w:left w:val="single" w:sz="8" w:space="0" w:color="F78D6D"/>
        <w:bottom w:val="single" w:sz="8" w:space="0" w:color="F78D6D"/>
        <w:right w:val="single" w:sz="8" w:space="0" w:color="F78D6D"/>
        <w:insideH w:val="single" w:sz="8" w:space="0" w:color="F78D6D"/>
        <w:insideV w:val="single" w:sz="8" w:space="0" w:color="F78D6D"/>
      </w:tblBorders>
    </w:tblPr>
    <w:tcPr>
      <w:shd w:val="clear" w:color="auto" w:fill="FCD9CE"/>
    </w:tcPr>
    <w:tblStylePr w:type="firstRow">
      <w:rPr>
        <w:b/>
        <w:bCs/>
      </w:rPr>
    </w:tblStylePr>
    <w:tblStylePr w:type="lastRow">
      <w:rPr>
        <w:b/>
        <w:bCs/>
      </w:rPr>
      <w:tblPr/>
      <w:tcPr>
        <w:tcBorders>
          <w:top w:val="single" w:sz="18" w:space="0" w:color="F78D6D"/>
        </w:tcBorders>
      </w:tcPr>
    </w:tblStylePr>
    <w:tblStylePr w:type="firstCol">
      <w:rPr>
        <w:b/>
        <w:bCs/>
      </w:rPr>
    </w:tblStylePr>
    <w:tblStylePr w:type="lastCol">
      <w:rPr>
        <w:b/>
        <w:bCs/>
      </w:rPr>
    </w:tblStylePr>
    <w:tblStylePr w:type="band1Vert">
      <w:tblPr/>
      <w:tcPr>
        <w:shd w:val="clear" w:color="auto" w:fill="FAB39E"/>
      </w:tcPr>
    </w:tblStylePr>
    <w:tblStylePr w:type="band1Horz">
      <w:tblPr/>
      <w:tcPr>
        <w:shd w:val="clear" w:color="auto" w:fill="FAB39E"/>
      </w:tcPr>
    </w:tblStylePr>
  </w:style>
  <w:style w:type="table" w:customStyle="1" w:styleId="MediumGrid1-Accent41">
    <w:name w:val="Medium Grid 1 - Accent 41"/>
    <w:basedOn w:val="TableNormal"/>
    <w:next w:val="MediumGrid1-Accent4"/>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48BEEE"/>
        <w:left w:val="single" w:sz="8" w:space="0" w:color="48BEEE"/>
        <w:bottom w:val="single" w:sz="8" w:space="0" w:color="48BEEE"/>
        <w:right w:val="single" w:sz="8" w:space="0" w:color="48BEEE"/>
        <w:insideH w:val="single" w:sz="8" w:space="0" w:color="48BEEE"/>
        <w:insideV w:val="single" w:sz="8" w:space="0" w:color="48BEEE"/>
      </w:tblBorders>
    </w:tblPr>
    <w:tcPr>
      <w:shd w:val="clear" w:color="auto" w:fill="C2E9F9"/>
    </w:tcPr>
    <w:tblStylePr w:type="firstRow">
      <w:rPr>
        <w:b/>
        <w:bCs/>
      </w:rPr>
    </w:tblStylePr>
    <w:tblStylePr w:type="lastRow">
      <w:rPr>
        <w:b/>
        <w:bCs/>
      </w:rPr>
      <w:tblPr/>
      <w:tcPr>
        <w:tcBorders>
          <w:top w:val="single" w:sz="18" w:space="0" w:color="48BEEE"/>
        </w:tcBorders>
      </w:tcPr>
    </w:tblStylePr>
    <w:tblStylePr w:type="firstCol">
      <w:rPr>
        <w:b/>
        <w:bCs/>
      </w:rPr>
    </w:tblStylePr>
    <w:tblStylePr w:type="lastCol">
      <w:rPr>
        <w:b/>
        <w:bCs/>
      </w:rPr>
    </w:tblStylePr>
    <w:tblStylePr w:type="band1Vert">
      <w:tblPr/>
      <w:tcPr>
        <w:shd w:val="clear" w:color="auto" w:fill="85D4F4"/>
      </w:tcPr>
    </w:tblStylePr>
    <w:tblStylePr w:type="band1Horz">
      <w:tblPr/>
      <w:tcPr>
        <w:shd w:val="clear" w:color="auto" w:fill="85D4F4"/>
      </w:tcPr>
    </w:tblStylePr>
  </w:style>
  <w:style w:type="table" w:customStyle="1" w:styleId="MediumGrid1-Accent51">
    <w:name w:val="Medium Grid 1 - Accent 51"/>
    <w:basedOn w:val="TableNormal"/>
    <w:next w:val="MediumGrid1-Accent5"/>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3588D2"/>
        <w:left w:val="single" w:sz="8" w:space="0" w:color="3588D2"/>
        <w:bottom w:val="single" w:sz="8" w:space="0" w:color="3588D2"/>
        <w:right w:val="single" w:sz="8" w:space="0" w:color="3588D2"/>
        <w:insideH w:val="single" w:sz="8" w:space="0" w:color="3588D2"/>
        <w:insideV w:val="single" w:sz="8" w:space="0" w:color="3588D2"/>
      </w:tblBorders>
    </w:tblPr>
    <w:tcPr>
      <w:shd w:val="clear" w:color="auto" w:fill="BCD7F0"/>
    </w:tcPr>
    <w:tblStylePr w:type="firstRow">
      <w:rPr>
        <w:b/>
        <w:bCs/>
      </w:rPr>
    </w:tblStylePr>
    <w:tblStylePr w:type="lastRow">
      <w:rPr>
        <w:b/>
        <w:bCs/>
      </w:rPr>
      <w:tblPr/>
      <w:tcPr>
        <w:tcBorders>
          <w:top w:val="single" w:sz="18" w:space="0" w:color="3588D2"/>
        </w:tcBorders>
      </w:tcPr>
    </w:tblStylePr>
    <w:tblStylePr w:type="firstCol">
      <w:rPr>
        <w:b/>
        <w:bCs/>
      </w:rPr>
    </w:tblStylePr>
    <w:tblStylePr w:type="lastCol">
      <w:rPr>
        <w:b/>
        <w:bCs/>
      </w:rPr>
    </w:tblStylePr>
    <w:tblStylePr w:type="band1Vert">
      <w:tblPr/>
      <w:tcPr>
        <w:shd w:val="clear" w:color="auto" w:fill="78B0E1"/>
      </w:tcPr>
    </w:tblStylePr>
    <w:tblStylePr w:type="band1Horz">
      <w:tblPr/>
      <w:tcPr>
        <w:shd w:val="clear" w:color="auto" w:fill="78B0E1"/>
      </w:tcPr>
    </w:tblStylePr>
  </w:style>
  <w:style w:type="table" w:customStyle="1" w:styleId="MediumGrid1-Accent61">
    <w:name w:val="Medium Grid 1 - Accent 61"/>
    <w:basedOn w:val="TableNormal"/>
    <w:next w:val="MediumGrid1-Accent6"/>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FD972"/>
        <w:left w:val="single" w:sz="8" w:space="0" w:color="FFD972"/>
        <w:bottom w:val="single" w:sz="8" w:space="0" w:color="FFD972"/>
        <w:right w:val="single" w:sz="8" w:space="0" w:color="FFD972"/>
        <w:insideH w:val="single" w:sz="8" w:space="0" w:color="FFD972"/>
        <w:insideV w:val="single" w:sz="8" w:space="0" w:color="FFD972"/>
      </w:tblBorders>
    </w:tblPr>
    <w:tcPr>
      <w:shd w:val="clear" w:color="auto" w:fill="FFF2D0"/>
    </w:tcPr>
    <w:tblStylePr w:type="firstRow">
      <w:rPr>
        <w:b/>
        <w:bCs/>
      </w:rPr>
    </w:tblStylePr>
    <w:tblStylePr w:type="lastRow">
      <w:rPr>
        <w:b/>
        <w:bCs/>
      </w:rPr>
      <w:tblPr/>
      <w:tcPr>
        <w:tcBorders>
          <w:top w:val="single" w:sz="18" w:space="0" w:color="FFD972"/>
        </w:tcBorders>
      </w:tcPr>
    </w:tblStylePr>
    <w:tblStylePr w:type="firstCol">
      <w:rPr>
        <w:b/>
        <w:bCs/>
      </w:rPr>
    </w:tblStylePr>
    <w:tblStylePr w:type="lastCol">
      <w:rPr>
        <w:b/>
        <w:bCs/>
      </w:rPr>
    </w:tblStylePr>
    <w:tblStylePr w:type="band1Vert">
      <w:tblPr/>
      <w:tcPr>
        <w:shd w:val="clear" w:color="auto" w:fill="FFE6A1"/>
      </w:tcPr>
    </w:tblStylePr>
    <w:tblStylePr w:type="band1Horz">
      <w:tblPr/>
      <w:tcPr>
        <w:shd w:val="clear" w:color="auto" w:fill="FFE6A1"/>
      </w:tcPr>
    </w:tblStylePr>
  </w:style>
  <w:style w:type="table" w:customStyle="1" w:styleId="MediumGrid21">
    <w:name w:val="Medium Grid 21"/>
    <w:basedOn w:val="TableNormal"/>
    <w:next w:val="MediumGrid2"/>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7A6DB2"/>
        <w:left w:val="single" w:sz="8" w:space="0" w:color="7A6DB2"/>
        <w:bottom w:val="single" w:sz="8" w:space="0" w:color="7A6DB2"/>
        <w:right w:val="single" w:sz="8" w:space="0" w:color="7A6DB2"/>
        <w:insideH w:val="single" w:sz="8" w:space="0" w:color="7A6DB2"/>
        <w:insideV w:val="single" w:sz="8" w:space="0" w:color="7A6DB2"/>
      </w:tblBorders>
    </w:tblPr>
    <w:tcPr>
      <w:shd w:val="clear" w:color="auto" w:fill="DDDAEC"/>
    </w:tcPr>
    <w:tblStylePr w:type="firstRow">
      <w:rPr>
        <w:b/>
        <w:bCs/>
        <w:color w:val="000000"/>
      </w:rPr>
      <w:tblPr/>
      <w:tcPr>
        <w:shd w:val="clear" w:color="auto" w:fill="F1F0F7"/>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4E1EF"/>
      </w:tcPr>
    </w:tblStylePr>
    <w:tblStylePr w:type="band1Vert">
      <w:tblPr/>
      <w:tcPr>
        <w:shd w:val="clear" w:color="auto" w:fill="BCB6D8"/>
      </w:tcPr>
    </w:tblStylePr>
    <w:tblStylePr w:type="band1Horz">
      <w:tblPr/>
      <w:tcPr>
        <w:tcBorders>
          <w:insideH w:val="single" w:sz="6" w:space="0" w:color="7A6DB2"/>
          <w:insideV w:val="single" w:sz="6" w:space="0" w:color="7A6DB2"/>
        </w:tcBorders>
        <w:shd w:val="clear" w:color="auto" w:fill="BCB6D8"/>
      </w:tcPr>
    </w:tblStylePr>
    <w:tblStylePr w:type="nwCell">
      <w:tblPr/>
      <w:tcPr>
        <w:shd w:val="clear" w:color="auto" w:fill="FFFFFF"/>
      </w:tcPr>
    </w:tblStylePr>
  </w:style>
  <w:style w:type="table" w:customStyle="1" w:styleId="MediumGrid2-Accent21">
    <w:name w:val="Medium Grid 2 - Accent 21"/>
    <w:basedOn w:val="TableNormal"/>
    <w:next w:val="MediumGrid2-Accent2"/>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18A453"/>
        <w:left w:val="single" w:sz="8" w:space="0" w:color="18A453"/>
        <w:bottom w:val="single" w:sz="8" w:space="0" w:color="18A453"/>
        <w:right w:val="single" w:sz="8" w:space="0" w:color="18A453"/>
        <w:insideH w:val="single" w:sz="8" w:space="0" w:color="18A453"/>
        <w:insideV w:val="single" w:sz="8" w:space="0" w:color="18A453"/>
      </w:tblBorders>
    </w:tblPr>
    <w:tcPr>
      <w:shd w:val="clear" w:color="auto" w:fill="B9F4D2"/>
    </w:tcPr>
    <w:tblStylePr w:type="firstRow">
      <w:rPr>
        <w:b/>
        <w:bCs/>
        <w:color w:val="000000"/>
      </w:rPr>
      <w:tblPr/>
      <w:tcPr>
        <w:shd w:val="clear" w:color="auto" w:fill="E3FB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6F6DA"/>
      </w:tcPr>
    </w:tblStylePr>
    <w:tblStylePr w:type="band1Vert">
      <w:tblPr/>
      <w:tcPr>
        <w:shd w:val="clear" w:color="auto" w:fill="72EAA5"/>
      </w:tcPr>
    </w:tblStylePr>
    <w:tblStylePr w:type="band1Horz">
      <w:tblPr/>
      <w:tcPr>
        <w:tcBorders>
          <w:insideH w:val="single" w:sz="6" w:space="0" w:color="18A453"/>
          <w:insideV w:val="single" w:sz="6" w:space="0" w:color="18A453"/>
        </w:tcBorders>
        <w:shd w:val="clear" w:color="auto" w:fill="72EAA5"/>
      </w:tcPr>
    </w:tblStylePr>
    <w:tblStylePr w:type="nwCell">
      <w:tblPr/>
      <w:tcPr>
        <w:shd w:val="clear" w:color="auto" w:fill="FFFFFF"/>
      </w:tcPr>
    </w:tblStylePr>
  </w:style>
  <w:style w:type="table" w:customStyle="1" w:styleId="MediumGrid2-Accent31">
    <w:name w:val="Medium Grid 2 - Accent 31"/>
    <w:basedOn w:val="TableNormal"/>
    <w:next w:val="MediumGrid2-Accent3"/>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F5693D"/>
        <w:left w:val="single" w:sz="8" w:space="0" w:color="F5693D"/>
        <w:bottom w:val="single" w:sz="8" w:space="0" w:color="F5693D"/>
        <w:right w:val="single" w:sz="8" w:space="0" w:color="F5693D"/>
        <w:insideH w:val="single" w:sz="8" w:space="0" w:color="F5693D"/>
        <w:insideV w:val="single" w:sz="8" w:space="0" w:color="F5693D"/>
      </w:tblBorders>
    </w:tblPr>
    <w:tcPr>
      <w:shd w:val="clear" w:color="auto" w:fill="FCD9CE"/>
    </w:tcPr>
    <w:tblStylePr w:type="firstRow">
      <w:rPr>
        <w:b/>
        <w:bCs/>
        <w:color w:val="000000"/>
      </w:rPr>
      <w:tblPr/>
      <w:tcPr>
        <w:shd w:val="clear" w:color="auto" w:fill="FEF0E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0D8"/>
      </w:tcPr>
    </w:tblStylePr>
    <w:tblStylePr w:type="band1Vert">
      <w:tblPr/>
      <w:tcPr>
        <w:shd w:val="clear" w:color="auto" w:fill="FAB39E"/>
      </w:tcPr>
    </w:tblStylePr>
    <w:tblStylePr w:type="band1Horz">
      <w:tblPr/>
      <w:tcPr>
        <w:tcBorders>
          <w:insideH w:val="single" w:sz="6" w:space="0" w:color="F5693D"/>
          <w:insideV w:val="single" w:sz="6" w:space="0" w:color="F5693D"/>
        </w:tcBorders>
        <w:shd w:val="clear" w:color="auto" w:fill="FAB39E"/>
      </w:tcPr>
    </w:tblStylePr>
    <w:tblStylePr w:type="nwCell">
      <w:tblPr/>
      <w:tcPr>
        <w:shd w:val="clear" w:color="auto" w:fill="FFFFFF"/>
      </w:tcPr>
    </w:tblStylePr>
  </w:style>
  <w:style w:type="table" w:customStyle="1" w:styleId="MediumGrid2-Accent41">
    <w:name w:val="Medium Grid 2 - Accent 41"/>
    <w:basedOn w:val="TableNormal"/>
    <w:next w:val="MediumGrid2-Accent4"/>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14A6E1"/>
        <w:left w:val="single" w:sz="8" w:space="0" w:color="14A6E1"/>
        <w:bottom w:val="single" w:sz="8" w:space="0" w:color="14A6E1"/>
        <w:right w:val="single" w:sz="8" w:space="0" w:color="14A6E1"/>
        <w:insideH w:val="single" w:sz="8" w:space="0" w:color="14A6E1"/>
        <w:insideV w:val="single" w:sz="8" w:space="0" w:color="14A6E1"/>
      </w:tblBorders>
    </w:tblPr>
    <w:tcPr>
      <w:shd w:val="clear" w:color="auto" w:fill="C2E9F9"/>
    </w:tcPr>
    <w:tblStylePr w:type="firstRow">
      <w:rPr>
        <w:b/>
        <w:bCs/>
        <w:color w:val="000000"/>
      </w:rPr>
      <w:tblPr/>
      <w:tcPr>
        <w:shd w:val="clear" w:color="auto" w:fill="E7F6F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EEDFA"/>
      </w:tcPr>
    </w:tblStylePr>
    <w:tblStylePr w:type="band1Vert">
      <w:tblPr/>
      <w:tcPr>
        <w:shd w:val="clear" w:color="auto" w:fill="85D4F4"/>
      </w:tcPr>
    </w:tblStylePr>
    <w:tblStylePr w:type="band1Horz">
      <w:tblPr/>
      <w:tcPr>
        <w:tcBorders>
          <w:insideH w:val="single" w:sz="6" w:space="0" w:color="14A6E1"/>
          <w:insideV w:val="single" w:sz="6" w:space="0" w:color="14A6E1"/>
        </w:tcBorders>
        <w:shd w:val="clear" w:color="auto" w:fill="85D4F4"/>
      </w:tcPr>
    </w:tblStylePr>
    <w:tblStylePr w:type="nwCell">
      <w:tblPr/>
      <w:tcPr>
        <w:shd w:val="clear" w:color="auto" w:fill="FFFFFF"/>
      </w:tcPr>
    </w:tblStylePr>
  </w:style>
  <w:style w:type="table" w:customStyle="1" w:styleId="MediumGrid2-Accent51">
    <w:name w:val="Medium Grid 2 - Accent 51"/>
    <w:basedOn w:val="TableNormal"/>
    <w:next w:val="MediumGrid2-Accent5"/>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215E94"/>
        <w:left w:val="single" w:sz="8" w:space="0" w:color="215E94"/>
        <w:bottom w:val="single" w:sz="8" w:space="0" w:color="215E94"/>
        <w:right w:val="single" w:sz="8" w:space="0" w:color="215E94"/>
        <w:insideH w:val="single" w:sz="8" w:space="0" w:color="215E94"/>
        <w:insideV w:val="single" w:sz="8" w:space="0" w:color="215E94"/>
      </w:tblBorders>
    </w:tblPr>
    <w:tcPr>
      <w:shd w:val="clear" w:color="auto" w:fill="BCD7F0"/>
    </w:tcPr>
    <w:tblStylePr w:type="firstRow">
      <w:rPr>
        <w:b/>
        <w:bCs/>
        <w:color w:val="000000"/>
      </w:rPr>
      <w:tblPr/>
      <w:tcPr>
        <w:shd w:val="clear" w:color="auto" w:fill="E4EF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9DFF3"/>
      </w:tcPr>
    </w:tblStylePr>
    <w:tblStylePr w:type="band1Vert">
      <w:tblPr/>
      <w:tcPr>
        <w:shd w:val="clear" w:color="auto" w:fill="78B0E1"/>
      </w:tcPr>
    </w:tblStylePr>
    <w:tblStylePr w:type="band1Horz">
      <w:tblPr/>
      <w:tcPr>
        <w:tcBorders>
          <w:insideH w:val="single" w:sz="6" w:space="0" w:color="215E94"/>
          <w:insideV w:val="single" w:sz="6" w:space="0" w:color="215E94"/>
        </w:tcBorders>
        <w:shd w:val="clear" w:color="auto" w:fill="78B0E1"/>
      </w:tcPr>
    </w:tblStylePr>
    <w:tblStylePr w:type="nwCell">
      <w:tblPr/>
      <w:tcPr>
        <w:shd w:val="clear" w:color="auto" w:fill="FFFFFF"/>
      </w:tcPr>
    </w:tblStylePr>
  </w:style>
  <w:style w:type="table" w:customStyle="1" w:styleId="MediumGrid2-Accent61">
    <w:name w:val="Medium Grid 2 - Accent 61"/>
    <w:basedOn w:val="TableNormal"/>
    <w:next w:val="MediumGrid2-Accent6"/>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FFCE43"/>
        <w:left w:val="single" w:sz="8" w:space="0" w:color="FFCE43"/>
        <w:bottom w:val="single" w:sz="8" w:space="0" w:color="FFCE43"/>
        <w:right w:val="single" w:sz="8" w:space="0" w:color="FFCE43"/>
        <w:insideH w:val="single" w:sz="8" w:space="0" w:color="FFCE43"/>
        <w:insideV w:val="single" w:sz="8" w:space="0" w:color="FFCE43"/>
      </w:tblBorders>
    </w:tblPr>
    <w:tcPr>
      <w:shd w:val="clear" w:color="auto" w:fill="FFF2D0"/>
    </w:tcPr>
    <w:tblStylePr w:type="firstRow">
      <w:rPr>
        <w:b/>
        <w:bCs/>
        <w:color w:val="000000"/>
      </w:rPr>
      <w:tblPr/>
      <w:tcPr>
        <w:shd w:val="clear" w:color="auto" w:fill="FFFA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5D9"/>
      </w:tcPr>
    </w:tblStylePr>
    <w:tblStylePr w:type="band1Vert">
      <w:tblPr/>
      <w:tcPr>
        <w:shd w:val="clear" w:color="auto" w:fill="FFE6A1"/>
      </w:tcPr>
    </w:tblStylePr>
    <w:tblStylePr w:type="band1Horz">
      <w:tblPr/>
      <w:tcPr>
        <w:tcBorders>
          <w:insideH w:val="single" w:sz="6" w:space="0" w:color="FFCE43"/>
          <w:insideV w:val="single" w:sz="6" w:space="0" w:color="FFCE43"/>
        </w:tcBorders>
        <w:shd w:val="clear" w:color="auto" w:fill="FFE6A1"/>
      </w:tcPr>
    </w:tblStylePr>
    <w:tblStylePr w:type="nwCell">
      <w:tblPr/>
      <w:tcPr>
        <w:shd w:val="clear" w:color="auto" w:fill="FFFFFF"/>
      </w:tcPr>
    </w:tblStylePr>
  </w:style>
  <w:style w:type="table" w:customStyle="1" w:styleId="MediumGrid31">
    <w:name w:val="Medium Grid 31"/>
    <w:basedOn w:val="TableNormal"/>
    <w:next w:val="MediumGrid3"/>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DDAE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A6DB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A6DB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A6DB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A6DB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CB6D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CB6D8"/>
      </w:tcPr>
    </w:tblStylePr>
  </w:style>
  <w:style w:type="table" w:customStyle="1" w:styleId="MediumGrid3-Accent21">
    <w:name w:val="Medium Grid 3 - Accent 21"/>
    <w:basedOn w:val="TableNormal"/>
    <w:next w:val="MediumGrid3-Accent2"/>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9F4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8A45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8A45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8A45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8A45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2EAA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2EAA5"/>
      </w:tcPr>
    </w:tblStylePr>
  </w:style>
  <w:style w:type="table" w:customStyle="1" w:styleId="MediumGrid3-Accent31">
    <w:name w:val="Medium Grid 3 - Accent 31"/>
    <w:basedOn w:val="TableNormal"/>
    <w:next w:val="MediumGrid3-Accent3"/>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CD9C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5693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5693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5693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5693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AB39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AB39E"/>
      </w:tcPr>
    </w:tblStylePr>
  </w:style>
  <w:style w:type="table" w:customStyle="1" w:styleId="MediumGrid3-Accent41">
    <w:name w:val="Medium Grid 3 - Accent 41"/>
    <w:basedOn w:val="TableNormal"/>
    <w:next w:val="MediumGrid3-Accent4"/>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2E9F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4A6E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4A6E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4A6E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4A6E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5D4F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5D4F4"/>
      </w:tcPr>
    </w:tblStylePr>
  </w:style>
  <w:style w:type="table" w:customStyle="1" w:styleId="MediumGrid3-Accent51">
    <w:name w:val="Medium Grid 3 - Accent 51"/>
    <w:basedOn w:val="TableNormal"/>
    <w:next w:val="MediumGrid3-Accent5"/>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CD7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15E9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15E9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15E9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15E9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8B0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8B0E1"/>
      </w:tcPr>
    </w:tblStylePr>
  </w:style>
  <w:style w:type="table" w:customStyle="1" w:styleId="MediumGrid3-Accent61">
    <w:name w:val="Medium Grid 3 - Accent 61"/>
    <w:basedOn w:val="TableNormal"/>
    <w:next w:val="MediumGrid3-Accent6"/>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F2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E4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E4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E4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E4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E6A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E6A1"/>
      </w:tcPr>
    </w:tblStylePr>
  </w:style>
  <w:style w:type="table" w:customStyle="1" w:styleId="MediumList11">
    <w:name w:val="Medium List 11"/>
    <w:basedOn w:val="TableNormal"/>
    <w:next w:val="MediumList1"/>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215E94"/>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8" w:space="0" w:color="7A6DB2"/>
        <w:bottom w:val="single" w:sz="8" w:space="0" w:color="7A6DB2"/>
      </w:tblBorders>
    </w:tblPr>
    <w:tblStylePr w:type="firstRow">
      <w:rPr>
        <w:rFonts w:ascii="Calibri Light" w:eastAsia="Times New Roman" w:hAnsi="Calibri Light" w:cs="Times New Roman"/>
      </w:rPr>
      <w:tblPr/>
      <w:tcPr>
        <w:tcBorders>
          <w:top w:val="nil"/>
          <w:bottom w:val="single" w:sz="8" w:space="0" w:color="7A6DB2"/>
        </w:tcBorders>
      </w:tcPr>
    </w:tblStylePr>
    <w:tblStylePr w:type="lastRow">
      <w:rPr>
        <w:b/>
        <w:bCs/>
        <w:color w:val="215E94"/>
      </w:rPr>
      <w:tblPr/>
      <w:tcPr>
        <w:tcBorders>
          <w:top w:val="single" w:sz="8" w:space="0" w:color="7A6DB2"/>
          <w:bottom w:val="single" w:sz="8" w:space="0" w:color="7A6DB2"/>
        </w:tcBorders>
      </w:tcPr>
    </w:tblStylePr>
    <w:tblStylePr w:type="firstCol">
      <w:rPr>
        <w:b/>
        <w:bCs/>
      </w:rPr>
    </w:tblStylePr>
    <w:tblStylePr w:type="lastCol">
      <w:rPr>
        <w:b/>
        <w:bCs/>
      </w:rPr>
      <w:tblPr/>
      <w:tcPr>
        <w:tcBorders>
          <w:top w:val="single" w:sz="8" w:space="0" w:color="7A6DB2"/>
          <w:bottom w:val="single" w:sz="8" w:space="0" w:color="7A6DB2"/>
        </w:tcBorders>
      </w:tcPr>
    </w:tblStylePr>
    <w:tblStylePr w:type="band1Vert">
      <w:tblPr/>
      <w:tcPr>
        <w:shd w:val="clear" w:color="auto" w:fill="DDDAEC"/>
      </w:tcPr>
    </w:tblStylePr>
    <w:tblStylePr w:type="band1Horz">
      <w:tblPr/>
      <w:tcPr>
        <w:shd w:val="clear" w:color="auto" w:fill="DDDAEC"/>
      </w:tcPr>
    </w:tblStylePr>
  </w:style>
  <w:style w:type="table" w:customStyle="1" w:styleId="MediumList1-Accent21">
    <w:name w:val="Medium List 1 - Accent 21"/>
    <w:basedOn w:val="TableNormal"/>
    <w:next w:val="MediumList1-Accent2"/>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8" w:space="0" w:color="18A453"/>
        <w:bottom w:val="single" w:sz="8" w:space="0" w:color="18A453"/>
      </w:tblBorders>
    </w:tblPr>
    <w:tblStylePr w:type="firstRow">
      <w:rPr>
        <w:rFonts w:ascii="Calibri Light" w:eastAsia="Times New Roman" w:hAnsi="Calibri Light" w:cs="Times New Roman"/>
      </w:rPr>
      <w:tblPr/>
      <w:tcPr>
        <w:tcBorders>
          <w:top w:val="nil"/>
          <w:bottom w:val="single" w:sz="8" w:space="0" w:color="18A453"/>
        </w:tcBorders>
      </w:tcPr>
    </w:tblStylePr>
    <w:tblStylePr w:type="lastRow">
      <w:rPr>
        <w:b/>
        <w:bCs/>
        <w:color w:val="215E94"/>
      </w:rPr>
      <w:tblPr/>
      <w:tcPr>
        <w:tcBorders>
          <w:top w:val="single" w:sz="8" w:space="0" w:color="18A453"/>
          <w:bottom w:val="single" w:sz="8" w:space="0" w:color="18A453"/>
        </w:tcBorders>
      </w:tcPr>
    </w:tblStylePr>
    <w:tblStylePr w:type="firstCol">
      <w:rPr>
        <w:b/>
        <w:bCs/>
      </w:rPr>
    </w:tblStylePr>
    <w:tblStylePr w:type="lastCol">
      <w:rPr>
        <w:b/>
        <w:bCs/>
      </w:rPr>
      <w:tblPr/>
      <w:tcPr>
        <w:tcBorders>
          <w:top w:val="single" w:sz="8" w:space="0" w:color="18A453"/>
          <w:bottom w:val="single" w:sz="8" w:space="0" w:color="18A453"/>
        </w:tcBorders>
      </w:tcPr>
    </w:tblStylePr>
    <w:tblStylePr w:type="band1Vert">
      <w:tblPr/>
      <w:tcPr>
        <w:shd w:val="clear" w:color="auto" w:fill="B9F4D2"/>
      </w:tcPr>
    </w:tblStylePr>
    <w:tblStylePr w:type="band1Horz">
      <w:tblPr/>
      <w:tcPr>
        <w:shd w:val="clear" w:color="auto" w:fill="B9F4D2"/>
      </w:tcPr>
    </w:tblStylePr>
  </w:style>
  <w:style w:type="table" w:customStyle="1" w:styleId="MediumList1-Accent31">
    <w:name w:val="Medium List 1 - Accent 31"/>
    <w:basedOn w:val="TableNormal"/>
    <w:next w:val="MediumList1-Accent3"/>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8" w:space="0" w:color="F5693D"/>
        <w:bottom w:val="single" w:sz="8" w:space="0" w:color="F5693D"/>
      </w:tblBorders>
    </w:tblPr>
    <w:tblStylePr w:type="firstRow">
      <w:rPr>
        <w:rFonts w:ascii="Calibri Light" w:eastAsia="Times New Roman" w:hAnsi="Calibri Light" w:cs="Times New Roman"/>
      </w:rPr>
      <w:tblPr/>
      <w:tcPr>
        <w:tcBorders>
          <w:top w:val="nil"/>
          <w:bottom w:val="single" w:sz="8" w:space="0" w:color="F5693D"/>
        </w:tcBorders>
      </w:tcPr>
    </w:tblStylePr>
    <w:tblStylePr w:type="lastRow">
      <w:rPr>
        <w:b/>
        <w:bCs/>
        <w:color w:val="215E94"/>
      </w:rPr>
      <w:tblPr/>
      <w:tcPr>
        <w:tcBorders>
          <w:top w:val="single" w:sz="8" w:space="0" w:color="F5693D"/>
          <w:bottom w:val="single" w:sz="8" w:space="0" w:color="F5693D"/>
        </w:tcBorders>
      </w:tcPr>
    </w:tblStylePr>
    <w:tblStylePr w:type="firstCol">
      <w:rPr>
        <w:b/>
        <w:bCs/>
      </w:rPr>
    </w:tblStylePr>
    <w:tblStylePr w:type="lastCol">
      <w:rPr>
        <w:b/>
        <w:bCs/>
      </w:rPr>
      <w:tblPr/>
      <w:tcPr>
        <w:tcBorders>
          <w:top w:val="single" w:sz="8" w:space="0" w:color="F5693D"/>
          <w:bottom w:val="single" w:sz="8" w:space="0" w:color="F5693D"/>
        </w:tcBorders>
      </w:tcPr>
    </w:tblStylePr>
    <w:tblStylePr w:type="band1Vert">
      <w:tblPr/>
      <w:tcPr>
        <w:shd w:val="clear" w:color="auto" w:fill="FCD9CE"/>
      </w:tcPr>
    </w:tblStylePr>
    <w:tblStylePr w:type="band1Horz">
      <w:tblPr/>
      <w:tcPr>
        <w:shd w:val="clear" w:color="auto" w:fill="FCD9CE"/>
      </w:tcPr>
    </w:tblStylePr>
  </w:style>
  <w:style w:type="table" w:customStyle="1" w:styleId="MediumList1-Accent41">
    <w:name w:val="Medium List 1 - Accent 41"/>
    <w:basedOn w:val="TableNormal"/>
    <w:next w:val="MediumList1-Accent4"/>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8" w:space="0" w:color="14A6E1"/>
        <w:bottom w:val="single" w:sz="8" w:space="0" w:color="14A6E1"/>
      </w:tblBorders>
    </w:tblPr>
    <w:tblStylePr w:type="firstRow">
      <w:rPr>
        <w:rFonts w:ascii="Calibri Light" w:eastAsia="Times New Roman" w:hAnsi="Calibri Light" w:cs="Times New Roman"/>
      </w:rPr>
      <w:tblPr/>
      <w:tcPr>
        <w:tcBorders>
          <w:top w:val="nil"/>
          <w:bottom w:val="single" w:sz="8" w:space="0" w:color="14A6E1"/>
        </w:tcBorders>
      </w:tcPr>
    </w:tblStylePr>
    <w:tblStylePr w:type="lastRow">
      <w:rPr>
        <w:b/>
        <w:bCs/>
        <w:color w:val="215E94"/>
      </w:rPr>
      <w:tblPr/>
      <w:tcPr>
        <w:tcBorders>
          <w:top w:val="single" w:sz="8" w:space="0" w:color="14A6E1"/>
          <w:bottom w:val="single" w:sz="8" w:space="0" w:color="14A6E1"/>
        </w:tcBorders>
      </w:tcPr>
    </w:tblStylePr>
    <w:tblStylePr w:type="firstCol">
      <w:rPr>
        <w:b/>
        <w:bCs/>
      </w:rPr>
    </w:tblStylePr>
    <w:tblStylePr w:type="lastCol">
      <w:rPr>
        <w:b/>
        <w:bCs/>
      </w:rPr>
      <w:tblPr/>
      <w:tcPr>
        <w:tcBorders>
          <w:top w:val="single" w:sz="8" w:space="0" w:color="14A6E1"/>
          <w:bottom w:val="single" w:sz="8" w:space="0" w:color="14A6E1"/>
        </w:tcBorders>
      </w:tcPr>
    </w:tblStylePr>
    <w:tblStylePr w:type="band1Vert">
      <w:tblPr/>
      <w:tcPr>
        <w:shd w:val="clear" w:color="auto" w:fill="C2E9F9"/>
      </w:tcPr>
    </w:tblStylePr>
    <w:tblStylePr w:type="band1Horz">
      <w:tblPr/>
      <w:tcPr>
        <w:shd w:val="clear" w:color="auto" w:fill="C2E9F9"/>
      </w:tcPr>
    </w:tblStylePr>
  </w:style>
  <w:style w:type="table" w:customStyle="1" w:styleId="MediumList1-Accent51">
    <w:name w:val="Medium List 1 - Accent 51"/>
    <w:basedOn w:val="TableNormal"/>
    <w:next w:val="MediumList1-Accent5"/>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8" w:space="0" w:color="215E94"/>
        <w:bottom w:val="single" w:sz="8" w:space="0" w:color="215E94"/>
      </w:tblBorders>
    </w:tblPr>
    <w:tblStylePr w:type="firstRow">
      <w:rPr>
        <w:rFonts w:ascii="Calibri Light" w:eastAsia="Times New Roman" w:hAnsi="Calibri Light" w:cs="Times New Roman"/>
      </w:rPr>
      <w:tblPr/>
      <w:tcPr>
        <w:tcBorders>
          <w:top w:val="nil"/>
          <w:bottom w:val="single" w:sz="8" w:space="0" w:color="215E94"/>
        </w:tcBorders>
      </w:tcPr>
    </w:tblStylePr>
    <w:tblStylePr w:type="lastRow">
      <w:rPr>
        <w:b/>
        <w:bCs/>
        <w:color w:val="215E94"/>
      </w:rPr>
      <w:tblPr/>
      <w:tcPr>
        <w:tcBorders>
          <w:top w:val="single" w:sz="8" w:space="0" w:color="215E94"/>
          <w:bottom w:val="single" w:sz="8" w:space="0" w:color="215E94"/>
        </w:tcBorders>
      </w:tcPr>
    </w:tblStylePr>
    <w:tblStylePr w:type="firstCol">
      <w:rPr>
        <w:b/>
        <w:bCs/>
      </w:rPr>
    </w:tblStylePr>
    <w:tblStylePr w:type="lastCol">
      <w:rPr>
        <w:b/>
        <w:bCs/>
      </w:rPr>
      <w:tblPr/>
      <w:tcPr>
        <w:tcBorders>
          <w:top w:val="single" w:sz="8" w:space="0" w:color="215E94"/>
          <w:bottom w:val="single" w:sz="8" w:space="0" w:color="215E94"/>
        </w:tcBorders>
      </w:tcPr>
    </w:tblStylePr>
    <w:tblStylePr w:type="band1Vert">
      <w:tblPr/>
      <w:tcPr>
        <w:shd w:val="clear" w:color="auto" w:fill="BCD7F0"/>
      </w:tcPr>
    </w:tblStylePr>
    <w:tblStylePr w:type="band1Horz">
      <w:tblPr/>
      <w:tcPr>
        <w:shd w:val="clear" w:color="auto" w:fill="BCD7F0"/>
      </w:tcPr>
    </w:tblStylePr>
  </w:style>
  <w:style w:type="table" w:customStyle="1" w:styleId="MediumList1-Accent61">
    <w:name w:val="Medium List 1 - Accent 61"/>
    <w:basedOn w:val="TableNormal"/>
    <w:next w:val="MediumList1-Accent6"/>
    <w:semiHidden/>
    <w:unhideWhenUsed/>
    <w:rsid w:val="0057062A"/>
    <w:pPr>
      <w:spacing w:after="0" w:line="240" w:lineRule="auto"/>
    </w:pPr>
    <w:rPr>
      <w:rFonts w:ascii="EC Square Sans Pro" w:eastAsia="Times New Roman" w:hAnsi="EC Square Sans Pro" w:cs="Times New Roman"/>
      <w:color w:val="000000"/>
      <w:kern w:val="0"/>
      <w:sz w:val="20"/>
      <w:szCs w:val="20"/>
      <w:lang w:val="en-GB" w:eastAsia="en-GB"/>
      <w14:ligatures w14:val="none"/>
    </w:rPr>
    <w:tblPr>
      <w:tblStyleRowBandSize w:val="1"/>
      <w:tblStyleColBandSize w:val="1"/>
      <w:tblBorders>
        <w:top w:val="single" w:sz="8" w:space="0" w:color="FFCE43"/>
        <w:bottom w:val="single" w:sz="8" w:space="0" w:color="FFCE43"/>
      </w:tblBorders>
    </w:tblPr>
    <w:tblStylePr w:type="firstRow">
      <w:rPr>
        <w:rFonts w:ascii="Calibri Light" w:eastAsia="Times New Roman" w:hAnsi="Calibri Light" w:cs="Times New Roman"/>
      </w:rPr>
      <w:tblPr/>
      <w:tcPr>
        <w:tcBorders>
          <w:top w:val="nil"/>
          <w:bottom w:val="single" w:sz="8" w:space="0" w:color="FFCE43"/>
        </w:tcBorders>
      </w:tcPr>
    </w:tblStylePr>
    <w:tblStylePr w:type="lastRow">
      <w:rPr>
        <w:b/>
        <w:bCs/>
        <w:color w:val="215E94"/>
      </w:rPr>
      <w:tblPr/>
      <w:tcPr>
        <w:tcBorders>
          <w:top w:val="single" w:sz="8" w:space="0" w:color="FFCE43"/>
          <w:bottom w:val="single" w:sz="8" w:space="0" w:color="FFCE43"/>
        </w:tcBorders>
      </w:tcPr>
    </w:tblStylePr>
    <w:tblStylePr w:type="firstCol">
      <w:rPr>
        <w:b/>
        <w:bCs/>
      </w:rPr>
    </w:tblStylePr>
    <w:tblStylePr w:type="lastCol">
      <w:rPr>
        <w:b/>
        <w:bCs/>
      </w:rPr>
      <w:tblPr/>
      <w:tcPr>
        <w:tcBorders>
          <w:top w:val="single" w:sz="8" w:space="0" w:color="FFCE43"/>
          <w:bottom w:val="single" w:sz="8" w:space="0" w:color="FFCE43"/>
        </w:tcBorders>
      </w:tcPr>
    </w:tblStylePr>
    <w:tblStylePr w:type="band1Vert">
      <w:tblPr/>
      <w:tcPr>
        <w:shd w:val="clear" w:color="auto" w:fill="FFF2D0"/>
      </w:tcPr>
    </w:tblStylePr>
    <w:tblStylePr w:type="band1Horz">
      <w:tblPr/>
      <w:tcPr>
        <w:shd w:val="clear" w:color="auto" w:fill="FFF2D0"/>
      </w:tcPr>
    </w:tblStylePr>
  </w:style>
  <w:style w:type="table" w:customStyle="1" w:styleId="MediumList21">
    <w:name w:val="Medium List 21"/>
    <w:basedOn w:val="TableNormal"/>
    <w:next w:val="MediumList2"/>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7A6DB2"/>
        <w:left w:val="single" w:sz="8" w:space="0" w:color="7A6DB2"/>
        <w:bottom w:val="single" w:sz="8" w:space="0" w:color="7A6DB2"/>
        <w:right w:val="single" w:sz="8" w:space="0" w:color="7A6DB2"/>
      </w:tblBorders>
    </w:tblPr>
    <w:tblStylePr w:type="firstRow">
      <w:rPr>
        <w:sz w:val="24"/>
        <w:szCs w:val="24"/>
      </w:rPr>
      <w:tblPr/>
      <w:tcPr>
        <w:tcBorders>
          <w:top w:val="nil"/>
          <w:left w:val="nil"/>
          <w:bottom w:val="single" w:sz="24" w:space="0" w:color="7A6DB2"/>
          <w:right w:val="nil"/>
          <w:insideH w:val="nil"/>
          <w:insideV w:val="nil"/>
        </w:tcBorders>
        <w:shd w:val="clear" w:color="auto" w:fill="FFFFFF"/>
      </w:tcPr>
    </w:tblStylePr>
    <w:tblStylePr w:type="lastRow">
      <w:tblPr/>
      <w:tcPr>
        <w:tcBorders>
          <w:top w:val="single" w:sz="8" w:space="0" w:color="7A6DB2"/>
          <w:left w:val="nil"/>
          <w:bottom w:val="nil"/>
          <w:right w:val="nil"/>
          <w:insideH w:val="nil"/>
          <w:insideV w:val="nil"/>
        </w:tcBorders>
        <w:shd w:val="clear" w:color="auto" w:fill="FFFFFF"/>
      </w:tcPr>
    </w:tblStylePr>
    <w:tblStylePr w:type="firstCol">
      <w:tblPr/>
      <w:tcPr>
        <w:tcBorders>
          <w:top w:val="nil"/>
          <w:left w:val="nil"/>
          <w:bottom w:val="nil"/>
          <w:right w:val="single" w:sz="8" w:space="0" w:color="7A6DB2"/>
          <w:insideH w:val="nil"/>
          <w:insideV w:val="nil"/>
        </w:tcBorders>
        <w:shd w:val="clear" w:color="auto" w:fill="FFFFFF"/>
      </w:tcPr>
    </w:tblStylePr>
    <w:tblStylePr w:type="lastCol">
      <w:tblPr/>
      <w:tcPr>
        <w:tcBorders>
          <w:top w:val="nil"/>
          <w:left w:val="single" w:sz="8" w:space="0" w:color="7A6DB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DDAEC"/>
      </w:tcPr>
    </w:tblStylePr>
    <w:tblStylePr w:type="band1Horz">
      <w:tblPr/>
      <w:tcPr>
        <w:tcBorders>
          <w:top w:val="nil"/>
          <w:bottom w:val="nil"/>
          <w:insideH w:val="nil"/>
          <w:insideV w:val="nil"/>
        </w:tcBorders>
        <w:shd w:val="clear" w:color="auto" w:fill="DDDAEC"/>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18A453"/>
        <w:left w:val="single" w:sz="8" w:space="0" w:color="18A453"/>
        <w:bottom w:val="single" w:sz="8" w:space="0" w:color="18A453"/>
        <w:right w:val="single" w:sz="8" w:space="0" w:color="18A453"/>
      </w:tblBorders>
    </w:tblPr>
    <w:tblStylePr w:type="firstRow">
      <w:rPr>
        <w:sz w:val="24"/>
        <w:szCs w:val="24"/>
      </w:rPr>
      <w:tblPr/>
      <w:tcPr>
        <w:tcBorders>
          <w:top w:val="nil"/>
          <w:left w:val="nil"/>
          <w:bottom w:val="single" w:sz="24" w:space="0" w:color="18A453"/>
          <w:right w:val="nil"/>
          <w:insideH w:val="nil"/>
          <w:insideV w:val="nil"/>
        </w:tcBorders>
        <w:shd w:val="clear" w:color="auto" w:fill="FFFFFF"/>
      </w:tcPr>
    </w:tblStylePr>
    <w:tblStylePr w:type="lastRow">
      <w:tblPr/>
      <w:tcPr>
        <w:tcBorders>
          <w:top w:val="single" w:sz="8" w:space="0" w:color="18A453"/>
          <w:left w:val="nil"/>
          <w:right w:val="nil"/>
          <w:insideH w:val="nil"/>
          <w:insideV w:val="nil"/>
        </w:tcBorders>
        <w:shd w:val="clear" w:color="auto" w:fill="FFFFFF"/>
      </w:tcPr>
    </w:tblStylePr>
    <w:tblStylePr w:type="firstCol">
      <w:tblPr/>
      <w:tcPr>
        <w:tcBorders>
          <w:top w:val="nil"/>
          <w:left w:val="nil"/>
          <w:bottom w:val="nil"/>
          <w:right w:val="single" w:sz="8" w:space="0" w:color="18A453"/>
          <w:insideH w:val="nil"/>
          <w:insideV w:val="nil"/>
        </w:tcBorders>
        <w:shd w:val="clear" w:color="auto" w:fill="FFFFFF"/>
      </w:tcPr>
    </w:tblStylePr>
    <w:tblStylePr w:type="lastCol">
      <w:tblPr/>
      <w:tcPr>
        <w:tcBorders>
          <w:top w:val="nil"/>
          <w:left w:val="single" w:sz="8" w:space="0" w:color="18A45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9F4D2"/>
      </w:tcPr>
    </w:tblStylePr>
    <w:tblStylePr w:type="band1Horz">
      <w:tblPr/>
      <w:tcPr>
        <w:tcBorders>
          <w:top w:val="nil"/>
          <w:bottom w:val="nil"/>
          <w:insideH w:val="nil"/>
          <w:insideV w:val="nil"/>
        </w:tcBorders>
        <w:shd w:val="clear" w:color="auto" w:fill="B9F4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F5693D"/>
        <w:left w:val="single" w:sz="8" w:space="0" w:color="F5693D"/>
        <w:bottom w:val="single" w:sz="8" w:space="0" w:color="F5693D"/>
        <w:right w:val="single" w:sz="8" w:space="0" w:color="F5693D"/>
      </w:tblBorders>
    </w:tblPr>
    <w:tblStylePr w:type="firstRow">
      <w:rPr>
        <w:sz w:val="24"/>
        <w:szCs w:val="24"/>
      </w:rPr>
      <w:tblPr/>
      <w:tcPr>
        <w:tcBorders>
          <w:top w:val="nil"/>
          <w:left w:val="nil"/>
          <w:bottom w:val="single" w:sz="24" w:space="0" w:color="F5693D"/>
          <w:right w:val="nil"/>
          <w:insideH w:val="nil"/>
          <w:insideV w:val="nil"/>
        </w:tcBorders>
        <w:shd w:val="clear" w:color="auto" w:fill="FFFFFF"/>
      </w:tcPr>
    </w:tblStylePr>
    <w:tblStylePr w:type="lastRow">
      <w:tblPr/>
      <w:tcPr>
        <w:tcBorders>
          <w:top w:val="single" w:sz="8" w:space="0" w:color="F5693D"/>
          <w:left w:val="nil"/>
          <w:bottom w:val="nil"/>
          <w:right w:val="nil"/>
          <w:insideH w:val="nil"/>
          <w:insideV w:val="nil"/>
        </w:tcBorders>
        <w:shd w:val="clear" w:color="auto" w:fill="FFFFFF"/>
      </w:tcPr>
    </w:tblStylePr>
    <w:tblStylePr w:type="firstCol">
      <w:tblPr/>
      <w:tcPr>
        <w:tcBorders>
          <w:top w:val="nil"/>
          <w:left w:val="nil"/>
          <w:bottom w:val="nil"/>
          <w:right w:val="single" w:sz="8" w:space="0" w:color="F5693D"/>
          <w:insideH w:val="nil"/>
          <w:insideV w:val="nil"/>
        </w:tcBorders>
        <w:shd w:val="clear" w:color="auto" w:fill="FFFFFF"/>
      </w:tcPr>
    </w:tblStylePr>
    <w:tblStylePr w:type="lastCol">
      <w:tblPr/>
      <w:tcPr>
        <w:tcBorders>
          <w:top w:val="nil"/>
          <w:left w:val="single" w:sz="8" w:space="0" w:color="F5693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CD9CE"/>
      </w:tcPr>
    </w:tblStylePr>
    <w:tblStylePr w:type="band1Horz">
      <w:tblPr/>
      <w:tcPr>
        <w:tcBorders>
          <w:top w:val="nil"/>
          <w:bottom w:val="nil"/>
          <w:insideH w:val="nil"/>
          <w:insideV w:val="nil"/>
        </w:tcBorders>
        <w:shd w:val="clear" w:color="auto" w:fill="FCD9CE"/>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14A6E1"/>
        <w:left w:val="single" w:sz="8" w:space="0" w:color="14A6E1"/>
        <w:bottom w:val="single" w:sz="8" w:space="0" w:color="14A6E1"/>
        <w:right w:val="single" w:sz="8" w:space="0" w:color="14A6E1"/>
      </w:tblBorders>
    </w:tblPr>
    <w:tblStylePr w:type="firstRow">
      <w:rPr>
        <w:sz w:val="24"/>
        <w:szCs w:val="24"/>
      </w:rPr>
      <w:tblPr/>
      <w:tcPr>
        <w:tcBorders>
          <w:top w:val="nil"/>
          <w:left w:val="nil"/>
          <w:bottom w:val="single" w:sz="24" w:space="0" w:color="14A6E1"/>
          <w:right w:val="nil"/>
          <w:insideH w:val="nil"/>
          <w:insideV w:val="nil"/>
        </w:tcBorders>
        <w:shd w:val="clear" w:color="auto" w:fill="FFFFFF"/>
      </w:tcPr>
    </w:tblStylePr>
    <w:tblStylePr w:type="lastRow">
      <w:tblPr/>
      <w:tcPr>
        <w:tcBorders>
          <w:top w:val="single" w:sz="8" w:space="0" w:color="14A6E1"/>
          <w:left w:val="nil"/>
          <w:bottom w:val="nil"/>
          <w:right w:val="nil"/>
          <w:insideH w:val="nil"/>
          <w:insideV w:val="nil"/>
        </w:tcBorders>
        <w:shd w:val="clear" w:color="auto" w:fill="FFFFFF"/>
      </w:tcPr>
    </w:tblStylePr>
    <w:tblStylePr w:type="firstCol">
      <w:tblPr/>
      <w:tcPr>
        <w:tcBorders>
          <w:top w:val="nil"/>
          <w:left w:val="nil"/>
          <w:bottom w:val="nil"/>
          <w:right w:val="single" w:sz="8" w:space="0" w:color="14A6E1"/>
          <w:insideH w:val="nil"/>
          <w:insideV w:val="nil"/>
        </w:tcBorders>
        <w:shd w:val="clear" w:color="auto" w:fill="FFFFFF"/>
      </w:tcPr>
    </w:tblStylePr>
    <w:tblStylePr w:type="lastCol">
      <w:tblPr/>
      <w:tcPr>
        <w:tcBorders>
          <w:top w:val="nil"/>
          <w:left w:val="single" w:sz="8" w:space="0" w:color="14A6E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2E9F9"/>
      </w:tcPr>
    </w:tblStylePr>
    <w:tblStylePr w:type="band1Horz">
      <w:tblPr/>
      <w:tcPr>
        <w:tcBorders>
          <w:top w:val="nil"/>
          <w:bottom w:val="nil"/>
          <w:insideH w:val="nil"/>
          <w:insideV w:val="nil"/>
        </w:tcBorders>
        <w:shd w:val="clear" w:color="auto" w:fill="C2E9F9"/>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215E94"/>
        <w:left w:val="single" w:sz="8" w:space="0" w:color="215E94"/>
        <w:bottom w:val="single" w:sz="8" w:space="0" w:color="215E94"/>
        <w:right w:val="single" w:sz="8" w:space="0" w:color="215E94"/>
      </w:tblBorders>
    </w:tblPr>
    <w:tblStylePr w:type="firstRow">
      <w:rPr>
        <w:sz w:val="24"/>
        <w:szCs w:val="24"/>
      </w:rPr>
      <w:tblPr/>
      <w:tcPr>
        <w:tcBorders>
          <w:top w:val="nil"/>
          <w:left w:val="nil"/>
          <w:bottom w:val="single" w:sz="24" w:space="0" w:color="215E94"/>
          <w:right w:val="nil"/>
          <w:insideH w:val="nil"/>
          <w:insideV w:val="nil"/>
        </w:tcBorders>
        <w:shd w:val="clear" w:color="auto" w:fill="FFFFFF"/>
      </w:tcPr>
    </w:tblStylePr>
    <w:tblStylePr w:type="lastRow">
      <w:tblPr/>
      <w:tcPr>
        <w:tcBorders>
          <w:top w:val="single" w:sz="8" w:space="0" w:color="215E94"/>
          <w:left w:val="nil"/>
          <w:bottom w:val="nil"/>
          <w:right w:val="nil"/>
          <w:insideH w:val="nil"/>
          <w:insideV w:val="nil"/>
        </w:tcBorders>
        <w:shd w:val="clear" w:color="auto" w:fill="FFFFFF"/>
      </w:tcPr>
    </w:tblStylePr>
    <w:tblStylePr w:type="firstCol">
      <w:tblPr/>
      <w:tcPr>
        <w:tcBorders>
          <w:top w:val="nil"/>
          <w:left w:val="nil"/>
          <w:bottom w:val="nil"/>
          <w:right w:val="single" w:sz="8" w:space="0" w:color="215E94"/>
          <w:insideH w:val="nil"/>
          <w:insideV w:val="nil"/>
        </w:tcBorders>
        <w:shd w:val="clear" w:color="auto" w:fill="FFFFFF"/>
      </w:tcPr>
    </w:tblStylePr>
    <w:tblStylePr w:type="lastCol">
      <w:tblPr/>
      <w:tcPr>
        <w:tcBorders>
          <w:top w:val="nil"/>
          <w:left w:val="single" w:sz="8" w:space="0" w:color="215E9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CD7F0"/>
      </w:tcPr>
    </w:tblStylePr>
    <w:tblStylePr w:type="band1Horz">
      <w:tblPr/>
      <w:tcPr>
        <w:tcBorders>
          <w:top w:val="nil"/>
          <w:bottom w:val="nil"/>
          <w:insideH w:val="nil"/>
          <w:insideV w:val="nil"/>
        </w:tcBorders>
        <w:shd w:val="clear" w:color="auto" w:fill="BCD7F0"/>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semiHidden/>
    <w:unhideWhenUsed/>
    <w:rsid w:val="0057062A"/>
    <w:pPr>
      <w:spacing w:after="0" w:line="240" w:lineRule="auto"/>
    </w:pPr>
    <w:rPr>
      <w:rFonts w:ascii="Calibri Light" w:eastAsia="Times New Roman" w:hAnsi="Calibri Light" w:cs="Times New Roman"/>
      <w:color w:val="000000"/>
      <w:kern w:val="0"/>
      <w:sz w:val="20"/>
      <w:szCs w:val="20"/>
      <w:lang w:val="en-GB" w:eastAsia="en-GB"/>
      <w14:ligatures w14:val="none"/>
    </w:rPr>
    <w:tblPr>
      <w:tblStyleRowBandSize w:val="1"/>
      <w:tblStyleColBandSize w:val="1"/>
      <w:tblBorders>
        <w:top w:val="single" w:sz="8" w:space="0" w:color="FFCE43"/>
        <w:left w:val="single" w:sz="8" w:space="0" w:color="FFCE43"/>
        <w:bottom w:val="single" w:sz="8" w:space="0" w:color="FFCE43"/>
        <w:right w:val="single" w:sz="8" w:space="0" w:color="FFCE43"/>
      </w:tblBorders>
    </w:tblPr>
    <w:tblStylePr w:type="firstRow">
      <w:rPr>
        <w:sz w:val="24"/>
        <w:szCs w:val="24"/>
      </w:rPr>
      <w:tblPr/>
      <w:tcPr>
        <w:tcBorders>
          <w:top w:val="nil"/>
          <w:left w:val="nil"/>
          <w:bottom w:val="single" w:sz="24" w:space="0" w:color="FFCE43"/>
          <w:right w:val="nil"/>
          <w:insideH w:val="nil"/>
          <w:insideV w:val="nil"/>
        </w:tcBorders>
        <w:shd w:val="clear" w:color="auto" w:fill="FFFFFF"/>
      </w:tcPr>
    </w:tblStylePr>
    <w:tblStylePr w:type="lastRow">
      <w:tblPr/>
      <w:tcPr>
        <w:tcBorders>
          <w:top w:val="single" w:sz="8" w:space="0" w:color="FFCE43"/>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E43"/>
          <w:insideH w:val="nil"/>
          <w:insideV w:val="nil"/>
        </w:tcBorders>
        <w:shd w:val="clear" w:color="auto" w:fill="FFFFFF"/>
      </w:tcPr>
    </w:tblStylePr>
    <w:tblStylePr w:type="lastCol">
      <w:tblPr/>
      <w:tcPr>
        <w:tcBorders>
          <w:top w:val="nil"/>
          <w:left w:val="single" w:sz="8" w:space="0" w:color="FFCE4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F2D0"/>
      </w:tcPr>
    </w:tblStylePr>
    <w:tblStylePr w:type="band1Horz">
      <w:tblPr/>
      <w:tcPr>
        <w:tcBorders>
          <w:top w:val="nil"/>
          <w:bottom w:val="nil"/>
          <w:insideH w:val="nil"/>
          <w:insideV w:val="nil"/>
        </w:tcBorders>
        <w:shd w:val="clear" w:color="auto" w:fill="FFF2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9B91C5"/>
        <w:left w:val="single" w:sz="8" w:space="0" w:color="9B91C5"/>
        <w:bottom w:val="single" w:sz="8" w:space="0" w:color="9B91C5"/>
        <w:right w:val="single" w:sz="8" w:space="0" w:color="9B91C5"/>
        <w:insideH w:val="single" w:sz="8" w:space="0" w:color="9B91C5"/>
      </w:tblBorders>
    </w:tblPr>
    <w:tblStylePr w:type="firstRow">
      <w:pPr>
        <w:spacing w:before="0" w:after="0" w:line="240" w:lineRule="auto"/>
      </w:pPr>
      <w:rPr>
        <w:b/>
        <w:bCs/>
        <w:color w:val="FFFFFF"/>
      </w:rPr>
      <w:tblPr/>
      <w:tcPr>
        <w:tcBorders>
          <w:top w:val="single" w:sz="8" w:space="0" w:color="9B91C5"/>
          <w:left w:val="single" w:sz="8" w:space="0" w:color="9B91C5"/>
          <w:bottom w:val="single" w:sz="8" w:space="0" w:color="9B91C5"/>
          <w:right w:val="single" w:sz="8" w:space="0" w:color="9B91C5"/>
          <w:insideH w:val="nil"/>
          <w:insideV w:val="nil"/>
        </w:tcBorders>
        <w:shd w:val="clear" w:color="auto" w:fill="7A6DB2"/>
      </w:tcPr>
    </w:tblStylePr>
    <w:tblStylePr w:type="lastRow">
      <w:pPr>
        <w:spacing w:before="0" w:after="0" w:line="240" w:lineRule="auto"/>
      </w:pPr>
      <w:rPr>
        <w:b/>
        <w:bCs/>
      </w:rPr>
      <w:tblPr/>
      <w:tcPr>
        <w:tcBorders>
          <w:top w:val="double" w:sz="6" w:space="0" w:color="9B91C5"/>
          <w:left w:val="single" w:sz="8" w:space="0" w:color="9B91C5"/>
          <w:bottom w:val="single" w:sz="8" w:space="0" w:color="9B91C5"/>
          <w:right w:val="single" w:sz="8" w:space="0" w:color="9B91C5"/>
          <w:insideH w:val="nil"/>
          <w:insideV w:val="nil"/>
        </w:tcBorders>
      </w:tcPr>
    </w:tblStylePr>
    <w:tblStylePr w:type="firstCol">
      <w:rPr>
        <w:b/>
        <w:bCs/>
      </w:rPr>
    </w:tblStylePr>
    <w:tblStylePr w:type="lastCol">
      <w:rPr>
        <w:b/>
        <w:bCs/>
      </w:rPr>
    </w:tblStylePr>
    <w:tblStylePr w:type="band1Vert">
      <w:tblPr/>
      <w:tcPr>
        <w:shd w:val="clear" w:color="auto" w:fill="DDDAEC"/>
      </w:tcPr>
    </w:tblStylePr>
    <w:tblStylePr w:type="band1Horz">
      <w:tblPr/>
      <w:tcPr>
        <w:tcBorders>
          <w:insideH w:val="nil"/>
          <w:insideV w:val="nil"/>
        </w:tcBorders>
        <w:shd w:val="clear" w:color="auto" w:fill="DDDAEC"/>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2CE077"/>
        <w:left w:val="single" w:sz="8" w:space="0" w:color="2CE077"/>
        <w:bottom w:val="single" w:sz="8" w:space="0" w:color="2CE077"/>
        <w:right w:val="single" w:sz="8" w:space="0" w:color="2CE077"/>
        <w:insideH w:val="single" w:sz="8" w:space="0" w:color="2CE077"/>
      </w:tblBorders>
    </w:tblPr>
    <w:tblStylePr w:type="firstRow">
      <w:pPr>
        <w:spacing w:before="0" w:after="0" w:line="240" w:lineRule="auto"/>
      </w:pPr>
      <w:rPr>
        <w:b/>
        <w:bCs/>
        <w:color w:val="FFFFFF"/>
      </w:rPr>
      <w:tblPr/>
      <w:tcPr>
        <w:tcBorders>
          <w:top w:val="single" w:sz="8" w:space="0" w:color="2CE077"/>
          <w:left w:val="single" w:sz="8" w:space="0" w:color="2CE077"/>
          <w:bottom w:val="single" w:sz="8" w:space="0" w:color="2CE077"/>
          <w:right w:val="single" w:sz="8" w:space="0" w:color="2CE077"/>
          <w:insideH w:val="nil"/>
          <w:insideV w:val="nil"/>
        </w:tcBorders>
        <w:shd w:val="clear" w:color="auto" w:fill="18A453"/>
      </w:tcPr>
    </w:tblStylePr>
    <w:tblStylePr w:type="lastRow">
      <w:pPr>
        <w:spacing w:before="0" w:after="0" w:line="240" w:lineRule="auto"/>
      </w:pPr>
      <w:rPr>
        <w:b/>
        <w:bCs/>
      </w:rPr>
      <w:tblPr/>
      <w:tcPr>
        <w:tcBorders>
          <w:top w:val="double" w:sz="6" w:space="0" w:color="2CE077"/>
          <w:left w:val="single" w:sz="8" w:space="0" w:color="2CE077"/>
          <w:bottom w:val="single" w:sz="8" w:space="0" w:color="2CE077"/>
          <w:right w:val="single" w:sz="8" w:space="0" w:color="2CE077"/>
          <w:insideH w:val="nil"/>
          <w:insideV w:val="nil"/>
        </w:tcBorders>
      </w:tcPr>
    </w:tblStylePr>
    <w:tblStylePr w:type="firstCol">
      <w:rPr>
        <w:b/>
        <w:bCs/>
      </w:rPr>
    </w:tblStylePr>
    <w:tblStylePr w:type="lastCol">
      <w:rPr>
        <w:b/>
        <w:bCs/>
      </w:rPr>
    </w:tblStylePr>
    <w:tblStylePr w:type="band1Vert">
      <w:tblPr/>
      <w:tcPr>
        <w:shd w:val="clear" w:color="auto" w:fill="B9F4D2"/>
      </w:tcPr>
    </w:tblStylePr>
    <w:tblStylePr w:type="band1Horz">
      <w:tblPr/>
      <w:tcPr>
        <w:tcBorders>
          <w:insideH w:val="nil"/>
          <w:insideV w:val="nil"/>
        </w:tcBorders>
        <w:shd w:val="clear" w:color="auto" w:fill="B9F4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78D6D"/>
        <w:left w:val="single" w:sz="8" w:space="0" w:color="F78D6D"/>
        <w:bottom w:val="single" w:sz="8" w:space="0" w:color="F78D6D"/>
        <w:right w:val="single" w:sz="8" w:space="0" w:color="F78D6D"/>
        <w:insideH w:val="single" w:sz="8" w:space="0" w:color="F78D6D"/>
      </w:tblBorders>
    </w:tblPr>
    <w:tblStylePr w:type="firstRow">
      <w:pPr>
        <w:spacing w:before="0" w:after="0" w:line="240" w:lineRule="auto"/>
      </w:pPr>
      <w:rPr>
        <w:b/>
        <w:bCs/>
        <w:color w:val="FFFFFF"/>
      </w:rPr>
      <w:tblPr/>
      <w:tcPr>
        <w:tcBorders>
          <w:top w:val="single" w:sz="8" w:space="0" w:color="F78D6D"/>
          <w:left w:val="single" w:sz="8" w:space="0" w:color="F78D6D"/>
          <w:bottom w:val="single" w:sz="8" w:space="0" w:color="F78D6D"/>
          <w:right w:val="single" w:sz="8" w:space="0" w:color="F78D6D"/>
          <w:insideH w:val="nil"/>
          <w:insideV w:val="nil"/>
        </w:tcBorders>
        <w:shd w:val="clear" w:color="auto" w:fill="F5693D"/>
      </w:tcPr>
    </w:tblStylePr>
    <w:tblStylePr w:type="lastRow">
      <w:pPr>
        <w:spacing w:before="0" w:after="0" w:line="240" w:lineRule="auto"/>
      </w:pPr>
      <w:rPr>
        <w:b/>
        <w:bCs/>
      </w:rPr>
      <w:tblPr/>
      <w:tcPr>
        <w:tcBorders>
          <w:top w:val="double" w:sz="6" w:space="0" w:color="F78D6D"/>
          <w:left w:val="single" w:sz="8" w:space="0" w:color="F78D6D"/>
          <w:bottom w:val="single" w:sz="8" w:space="0" w:color="F78D6D"/>
          <w:right w:val="single" w:sz="8" w:space="0" w:color="F78D6D"/>
          <w:insideH w:val="nil"/>
          <w:insideV w:val="nil"/>
        </w:tcBorders>
      </w:tcPr>
    </w:tblStylePr>
    <w:tblStylePr w:type="firstCol">
      <w:rPr>
        <w:b/>
        <w:bCs/>
      </w:rPr>
    </w:tblStylePr>
    <w:tblStylePr w:type="lastCol">
      <w:rPr>
        <w:b/>
        <w:bCs/>
      </w:rPr>
    </w:tblStylePr>
    <w:tblStylePr w:type="band1Vert">
      <w:tblPr/>
      <w:tcPr>
        <w:shd w:val="clear" w:color="auto" w:fill="FCD9CE"/>
      </w:tcPr>
    </w:tblStylePr>
    <w:tblStylePr w:type="band1Horz">
      <w:tblPr/>
      <w:tcPr>
        <w:tcBorders>
          <w:insideH w:val="nil"/>
          <w:insideV w:val="nil"/>
        </w:tcBorders>
        <w:shd w:val="clear" w:color="auto" w:fill="FCD9CE"/>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48BEEE"/>
        <w:left w:val="single" w:sz="8" w:space="0" w:color="48BEEE"/>
        <w:bottom w:val="single" w:sz="8" w:space="0" w:color="48BEEE"/>
        <w:right w:val="single" w:sz="8" w:space="0" w:color="48BEEE"/>
        <w:insideH w:val="single" w:sz="8" w:space="0" w:color="48BEEE"/>
      </w:tblBorders>
    </w:tblPr>
    <w:tblStylePr w:type="firstRow">
      <w:pPr>
        <w:spacing w:before="0" w:after="0" w:line="240" w:lineRule="auto"/>
      </w:pPr>
      <w:rPr>
        <w:b/>
        <w:bCs/>
        <w:color w:val="FFFFFF"/>
      </w:rPr>
      <w:tblPr/>
      <w:tcPr>
        <w:tcBorders>
          <w:top w:val="single" w:sz="8" w:space="0" w:color="48BEEE"/>
          <w:left w:val="single" w:sz="8" w:space="0" w:color="48BEEE"/>
          <w:bottom w:val="single" w:sz="8" w:space="0" w:color="48BEEE"/>
          <w:right w:val="single" w:sz="8" w:space="0" w:color="48BEEE"/>
          <w:insideH w:val="nil"/>
          <w:insideV w:val="nil"/>
        </w:tcBorders>
        <w:shd w:val="clear" w:color="auto" w:fill="14A6E1"/>
      </w:tcPr>
    </w:tblStylePr>
    <w:tblStylePr w:type="lastRow">
      <w:pPr>
        <w:spacing w:before="0" w:after="0" w:line="240" w:lineRule="auto"/>
      </w:pPr>
      <w:rPr>
        <w:b/>
        <w:bCs/>
      </w:rPr>
      <w:tblPr/>
      <w:tcPr>
        <w:tcBorders>
          <w:top w:val="double" w:sz="6" w:space="0" w:color="48BEEE"/>
          <w:left w:val="single" w:sz="8" w:space="0" w:color="48BEEE"/>
          <w:bottom w:val="single" w:sz="8" w:space="0" w:color="48BEEE"/>
          <w:right w:val="single" w:sz="8" w:space="0" w:color="48BEEE"/>
          <w:insideH w:val="nil"/>
          <w:insideV w:val="nil"/>
        </w:tcBorders>
      </w:tcPr>
    </w:tblStylePr>
    <w:tblStylePr w:type="firstCol">
      <w:rPr>
        <w:b/>
        <w:bCs/>
      </w:rPr>
    </w:tblStylePr>
    <w:tblStylePr w:type="lastCol">
      <w:rPr>
        <w:b/>
        <w:bCs/>
      </w:rPr>
    </w:tblStylePr>
    <w:tblStylePr w:type="band1Vert">
      <w:tblPr/>
      <w:tcPr>
        <w:shd w:val="clear" w:color="auto" w:fill="C2E9F9"/>
      </w:tcPr>
    </w:tblStylePr>
    <w:tblStylePr w:type="band1Horz">
      <w:tblPr/>
      <w:tcPr>
        <w:tcBorders>
          <w:insideH w:val="nil"/>
          <w:insideV w:val="nil"/>
        </w:tcBorders>
        <w:shd w:val="clear" w:color="auto" w:fill="C2E9F9"/>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3588D2"/>
        <w:left w:val="single" w:sz="8" w:space="0" w:color="3588D2"/>
        <w:bottom w:val="single" w:sz="8" w:space="0" w:color="3588D2"/>
        <w:right w:val="single" w:sz="8" w:space="0" w:color="3588D2"/>
        <w:insideH w:val="single" w:sz="8" w:space="0" w:color="3588D2"/>
      </w:tblBorders>
    </w:tblPr>
    <w:tblStylePr w:type="firstRow">
      <w:pPr>
        <w:spacing w:before="0" w:after="0" w:line="240" w:lineRule="auto"/>
      </w:pPr>
      <w:rPr>
        <w:b/>
        <w:bCs/>
        <w:color w:val="FFFFFF"/>
      </w:rPr>
      <w:tblPr/>
      <w:tcPr>
        <w:tcBorders>
          <w:top w:val="single" w:sz="8" w:space="0" w:color="3588D2"/>
          <w:left w:val="single" w:sz="8" w:space="0" w:color="3588D2"/>
          <w:bottom w:val="single" w:sz="8" w:space="0" w:color="3588D2"/>
          <w:right w:val="single" w:sz="8" w:space="0" w:color="3588D2"/>
          <w:insideH w:val="nil"/>
          <w:insideV w:val="nil"/>
        </w:tcBorders>
        <w:shd w:val="clear" w:color="auto" w:fill="215E94"/>
      </w:tcPr>
    </w:tblStylePr>
    <w:tblStylePr w:type="lastRow">
      <w:pPr>
        <w:spacing w:before="0" w:after="0" w:line="240" w:lineRule="auto"/>
      </w:pPr>
      <w:rPr>
        <w:b/>
        <w:bCs/>
      </w:rPr>
      <w:tblPr/>
      <w:tcPr>
        <w:tcBorders>
          <w:top w:val="double" w:sz="6" w:space="0" w:color="3588D2"/>
          <w:left w:val="single" w:sz="8" w:space="0" w:color="3588D2"/>
          <w:bottom w:val="single" w:sz="8" w:space="0" w:color="3588D2"/>
          <w:right w:val="single" w:sz="8" w:space="0" w:color="3588D2"/>
          <w:insideH w:val="nil"/>
          <w:insideV w:val="nil"/>
        </w:tcBorders>
      </w:tcPr>
    </w:tblStylePr>
    <w:tblStylePr w:type="firstCol">
      <w:rPr>
        <w:b/>
        <w:bCs/>
      </w:rPr>
    </w:tblStylePr>
    <w:tblStylePr w:type="lastCol">
      <w:rPr>
        <w:b/>
        <w:bCs/>
      </w:rPr>
    </w:tblStylePr>
    <w:tblStylePr w:type="band1Vert">
      <w:tblPr/>
      <w:tcPr>
        <w:shd w:val="clear" w:color="auto" w:fill="BCD7F0"/>
      </w:tcPr>
    </w:tblStylePr>
    <w:tblStylePr w:type="band1Horz">
      <w:tblPr/>
      <w:tcPr>
        <w:tcBorders>
          <w:insideH w:val="nil"/>
          <w:insideV w:val="nil"/>
        </w:tcBorders>
        <w:shd w:val="clear" w:color="auto" w:fill="BCD7F0"/>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8" w:space="0" w:color="FFD972"/>
        <w:left w:val="single" w:sz="8" w:space="0" w:color="FFD972"/>
        <w:bottom w:val="single" w:sz="8" w:space="0" w:color="FFD972"/>
        <w:right w:val="single" w:sz="8" w:space="0" w:color="FFD972"/>
        <w:insideH w:val="single" w:sz="8" w:space="0" w:color="FFD972"/>
      </w:tblBorders>
    </w:tblPr>
    <w:tblStylePr w:type="firstRow">
      <w:pPr>
        <w:spacing w:before="0" w:after="0" w:line="240" w:lineRule="auto"/>
      </w:pPr>
      <w:rPr>
        <w:b/>
        <w:bCs/>
        <w:color w:val="FFFFFF"/>
      </w:rPr>
      <w:tblPr/>
      <w:tcPr>
        <w:tcBorders>
          <w:top w:val="single" w:sz="8" w:space="0" w:color="FFD972"/>
          <w:left w:val="single" w:sz="8" w:space="0" w:color="FFD972"/>
          <w:bottom w:val="single" w:sz="8" w:space="0" w:color="FFD972"/>
          <w:right w:val="single" w:sz="8" w:space="0" w:color="FFD972"/>
          <w:insideH w:val="nil"/>
          <w:insideV w:val="nil"/>
        </w:tcBorders>
        <w:shd w:val="clear" w:color="auto" w:fill="FFCE43"/>
      </w:tcPr>
    </w:tblStylePr>
    <w:tblStylePr w:type="lastRow">
      <w:pPr>
        <w:spacing w:before="0" w:after="0" w:line="240" w:lineRule="auto"/>
      </w:pPr>
      <w:rPr>
        <w:b/>
        <w:bCs/>
      </w:rPr>
      <w:tblPr/>
      <w:tcPr>
        <w:tcBorders>
          <w:top w:val="double" w:sz="6" w:space="0" w:color="FFD972"/>
          <w:left w:val="single" w:sz="8" w:space="0" w:color="FFD972"/>
          <w:bottom w:val="single" w:sz="8" w:space="0" w:color="FFD972"/>
          <w:right w:val="single" w:sz="8" w:space="0" w:color="FFD972"/>
          <w:insideH w:val="nil"/>
          <w:insideV w:val="nil"/>
        </w:tcBorders>
      </w:tcPr>
    </w:tblStylePr>
    <w:tblStylePr w:type="firstCol">
      <w:rPr>
        <w:b/>
        <w:bCs/>
      </w:rPr>
    </w:tblStylePr>
    <w:tblStylePr w:type="lastCol">
      <w:rPr>
        <w:b/>
        <w:bCs/>
      </w:rPr>
    </w:tblStylePr>
    <w:tblStylePr w:type="band1Vert">
      <w:tblPr/>
      <w:tcPr>
        <w:shd w:val="clear" w:color="auto" w:fill="FFF2D0"/>
      </w:tcPr>
    </w:tblStylePr>
    <w:tblStylePr w:type="band1Horz">
      <w:tblPr/>
      <w:tcPr>
        <w:tcBorders>
          <w:insideH w:val="nil"/>
          <w:insideV w:val="nil"/>
        </w:tcBorders>
        <w:shd w:val="clear" w:color="auto" w:fill="FFF2D0"/>
      </w:tcPr>
    </w:tblStylePr>
    <w:tblStylePr w:type="band2Horz">
      <w:tblPr/>
      <w:tcPr>
        <w:tcBorders>
          <w:insideH w:val="nil"/>
          <w:insideV w:val="nil"/>
        </w:tcBorders>
      </w:tcPr>
    </w:tblStylePr>
  </w:style>
  <w:style w:type="table" w:customStyle="1" w:styleId="MediumShading21">
    <w:name w:val="Medium Shading 21"/>
    <w:basedOn w:val="TableNormal"/>
    <w:next w:val="MediumShading2"/>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A6DB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7A6DB2"/>
      </w:tcPr>
    </w:tblStylePr>
    <w:tblStylePr w:type="lastCol">
      <w:rPr>
        <w:b/>
        <w:bCs/>
        <w:color w:val="FFFFFF"/>
      </w:rPr>
      <w:tblPr/>
      <w:tcPr>
        <w:tcBorders>
          <w:left w:val="nil"/>
          <w:right w:val="nil"/>
          <w:insideH w:val="nil"/>
          <w:insideV w:val="nil"/>
        </w:tcBorders>
        <w:shd w:val="clear" w:color="auto" w:fill="7A6DB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8A45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8A453"/>
      </w:tcPr>
    </w:tblStylePr>
    <w:tblStylePr w:type="lastCol">
      <w:rPr>
        <w:b/>
        <w:bCs/>
        <w:color w:val="FFFFFF"/>
      </w:rPr>
      <w:tblPr/>
      <w:tcPr>
        <w:tcBorders>
          <w:left w:val="nil"/>
          <w:right w:val="nil"/>
          <w:insideH w:val="nil"/>
          <w:insideV w:val="nil"/>
        </w:tcBorders>
        <w:shd w:val="clear" w:color="auto" w:fill="18A45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5693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5693D"/>
      </w:tcPr>
    </w:tblStylePr>
    <w:tblStylePr w:type="lastCol">
      <w:rPr>
        <w:b/>
        <w:bCs/>
        <w:color w:val="FFFFFF"/>
      </w:rPr>
      <w:tblPr/>
      <w:tcPr>
        <w:tcBorders>
          <w:left w:val="nil"/>
          <w:right w:val="nil"/>
          <w:insideH w:val="nil"/>
          <w:insideV w:val="nil"/>
        </w:tcBorders>
        <w:shd w:val="clear" w:color="auto" w:fill="F5693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4A6E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4A6E1"/>
      </w:tcPr>
    </w:tblStylePr>
    <w:tblStylePr w:type="lastCol">
      <w:rPr>
        <w:b/>
        <w:bCs/>
        <w:color w:val="FFFFFF"/>
      </w:rPr>
      <w:tblPr/>
      <w:tcPr>
        <w:tcBorders>
          <w:left w:val="nil"/>
          <w:right w:val="nil"/>
          <w:insideH w:val="nil"/>
          <w:insideV w:val="nil"/>
        </w:tcBorders>
        <w:shd w:val="clear" w:color="auto" w:fill="14A6E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15E9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215E94"/>
      </w:tcPr>
    </w:tblStylePr>
    <w:tblStylePr w:type="lastCol">
      <w:rPr>
        <w:b/>
        <w:bCs/>
        <w:color w:val="FFFFFF"/>
      </w:rPr>
      <w:tblPr/>
      <w:tcPr>
        <w:tcBorders>
          <w:left w:val="nil"/>
          <w:right w:val="nil"/>
          <w:insideH w:val="nil"/>
          <w:insideV w:val="nil"/>
        </w:tcBorders>
        <w:shd w:val="clear" w:color="auto" w:fill="215E9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semiHidden/>
    <w:unhideWhenUsed/>
    <w:rsid w:val="0057062A"/>
    <w:pPr>
      <w:spacing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E4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CE43"/>
      </w:tcPr>
    </w:tblStylePr>
    <w:tblStylePr w:type="lastCol">
      <w:rPr>
        <w:b/>
        <w:bCs/>
        <w:color w:val="FFFFFF"/>
      </w:rPr>
      <w:tblPr/>
      <w:tcPr>
        <w:tcBorders>
          <w:left w:val="nil"/>
          <w:right w:val="nil"/>
          <w:insideH w:val="nil"/>
          <w:insideV w:val="nil"/>
        </w:tcBorders>
        <w:shd w:val="clear" w:color="auto" w:fill="FFCE4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next w:val="PlainTable1"/>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57062A"/>
    <w:pPr>
      <w:spacing w:before="240" w:after="240" w:line="264" w:lineRule="auto"/>
    </w:pPr>
    <w:rPr>
      <w:rFonts w:ascii="EC Square Sans Pro" w:eastAsia="Times New Roman" w:hAnsi="EC Square Sans Pro" w:cs="Times New Roman"/>
      <w:color w:val="000080"/>
      <w:kern w:val="0"/>
      <w:sz w:val="20"/>
      <w:szCs w:val="20"/>
      <w:lang w:val="en-GB" w:eastAsia="en-GB"/>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57062A"/>
    <w:pPr>
      <w:spacing w:before="240" w:after="240" w:line="264" w:lineRule="auto"/>
    </w:pPr>
    <w:rPr>
      <w:rFonts w:ascii="EC Square Sans Pro" w:eastAsia="Times New Roman" w:hAnsi="EC Square Sans Pro" w:cs="Times New Roman"/>
      <w:color w:val="FFFFFF"/>
      <w:kern w:val="0"/>
      <w:sz w:val="20"/>
      <w:szCs w:val="20"/>
      <w:lang w:val="en-GB" w:eastAsia="en-GB"/>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57062A"/>
    <w:pPr>
      <w:spacing w:before="240" w:after="240" w:line="264" w:lineRule="auto"/>
    </w:pPr>
    <w:rPr>
      <w:rFonts w:ascii="EC Square Sans Pro" w:eastAsia="Times New Roman" w:hAnsi="EC Square Sans Pro" w:cs="Times New Roman"/>
      <w:b/>
      <w:bCs/>
      <w:kern w:val="0"/>
      <w:sz w:val="20"/>
      <w:szCs w:val="20"/>
      <w:lang w:val="en-GB" w:eastAsia="en-GB"/>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57062A"/>
    <w:pPr>
      <w:spacing w:before="240" w:after="240" w:line="264" w:lineRule="auto"/>
    </w:pPr>
    <w:rPr>
      <w:rFonts w:ascii="EC Square Sans Pro" w:eastAsia="Times New Roman" w:hAnsi="EC Square Sans Pro" w:cs="Times New Roman"/>
      <w:b/>
      <w:bCs/>
      <w:kern w:val="0"/>
      <w:sz w:val="20"/>
      <w:szCs w:val="20"/>
      <w:lang w:val="en-GB" w:eastAsia="en-GB"/>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57062A"/>
    <w:pPr>
      <w:spacing w:before="240" w:after="240" w:line="264" w:lineRule="auto"/>
    </w:pPr>
    <w:rPr>
      <w:rFonts w:ascii="EC Square Sans Pro" w:eastAsia="Times New Roman" w:hAnsi="EC Square Sans Pro" w:cs="Times New Roman"/>
      <w:b/>
      <w:bCs/>
      <w:kern w:val="0"/>
      <w:sz w:val="20"/>
      <w:szCs w:val="20"/>
      <w:lang w:val="en-GB" w:eastAsia="en-GB"/>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57062A"/>
    <w:pPr>
      <w:spacing w:before="240" w:after="240" w:line="264" w:lineRule="auto"/>
    </w:pPr>
    <w:rPr>
      <w:rFonts w:ascii="EC Square Sans Pro" w:eastAsia="Times New Roman" w:hAnsi="EC Square Sans Pro" w:cs="Times New Roman"/>
      <w:b/>
      <w:bCs/>
      <w:kern w:val="0"/>
      <w:sz w:val="20"/>
      <w:szCs w:val="20"/>
      <w:lang w:val="en-GB" w:eastAsia="en-GB"/>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rsid w:val="0057062A"/>
    <w:pPr>
      <w:spacing w:before="240" w:after="0" w:line="240" w:lineRule="auto"/>
    </w:pPr>
    <w:rPr>
      <w:rFonts w:ascii="EC Square Sans Pro" w:eastAsia="Times New Roman" w:hAnsi="EC Square Sans Pro" w:cs="Times New Roman"/>
      <w:kern w:val="0"/>
      <w:sz w:val="20"/>
      <w:szCs w:val="20"/>
      <w:lang w:val="en-GB" w:eastAsia="en-GB"/>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57062A"/>
    <w:pPr>
      <w:spacing w:before="240" w:after="240" w:line="264" w:lineRule="auto"/>
    </w:pPr>
    <w:rPr>
      <w:rFonts w:ascii="EC Square Sans Pro" w:eastAsia="Times New Roman" w:hAnsi="EC Square Sans Pro" w:cs="Times New Roman"/>
      <w:kern w:val="0"/>
      <w:sz w:val="20"/>
      <w:szCs w:val="20"/>
      <w:lang w:val="en-GB" w:eastAsia="en-GB"/>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OPcomment">
    <w:name w:val="OP comment"/>
    <w:uiPriority w:val="89"/>
    <w:semiHidden/>
    <w:qFormat/>
    <w:rsid w:val="0057062A"/>
    <w:pPr>
      <w:pBdr>
        <w:top w:val="single" w:sz="48" w:space="31" w:color="595959"/>
        <w:left w:val="single" w:sz="48" w:space="31" w:color="595959"/>
        <w:bottom w:val="single" w:sz="48" w:space="31" w:color="595959"/>
        <w:right w:val="single" w:sz="48" w:space="31" w:color="595959"/>
      </w:pBdr>
      <w:shd w:val="clear" w:color="auto" w:fill="595959"/>
      <w:spacing w:after="240" w:line="288" w:lineRule="auto"/>
      <w:ind w:left="-660" w:right="-680"/>
    </w:pPr>
    <w:rPr>
      <w:rFonts w:ascii="EC Square Sans Pro" w:hAnsi="EC Square Sans Pro" w:cs="Arial"/>
      <w:color w:val="FFFFFF"/>
      <w:kern w:val="0"/>
      <w:sz w:val="24"/>
      <w:szCs w:val="20"/>
      <w:lang w:val="en-GB"/>
      <w14:ligatures w14:val="none"/>
    </w:rPr>
  </w:style>
  <w:style w:type="paragraph" w:customStyle="1" w:styleId="amprT-AnnexesSectiontitlenotheading">
    <w:name w:val="[ampr T-Annexes] Section title (not heading)"/>
    <w:basedOn w:val="Normal"/>
    <w:uiPriority w:val="9"/>
    <w:rsid w:val="0057062A"/>
    <w:pPr>
      <w:spacing w:after="0" w:line="264" w:lineRule="auto"/>
    </w:pPr>
    <w:rPr>
      <w:rFonts w:eastAsia="Times New Roman" w:cs="Times New Roman"/>
      <w:color w:val="FFFFFF"/>
      <w:kern w:val="0"/>
      <w:sz w:val="52"/>
      <w:szCs w:val="96"/>
      <w:lang w:val="en-GB" w:eastAsia="zh-CN"/>
      <w14:ligatures w14:val="none"/>
    </w:rPr>
  </w:style>
  <w:style w:type="paragraph" w:customStyle="1" w:styleId="amprT-AnnexesH1TITLE1">
    <w:name w:val="[ampr T-Annexes H1] TITLE 1"/>
    <w:basedOn w:val="Normal"/>
    <w:next w:val="amprBodyText"/>
    <w:uiPriority w:val="9"/>
    <w:semiHidden/>
    <w:qFormat/>
    <w:rsid w:val="0057062A"/>
    <w:pPr>
      <w:keepNext/>
      <w:keepLines/>
      <w:pageBreakBefore/>
      <w:suppressAutoHyphens/>
      <w:spacing w:after="720" w:line="264" w:lineRule="auto"/>
      <w:outlineLvl w:val="0"/>
    </w:pPr>
    <w:rPr>
      <w:rFonts w:ascii="Calibri Light" w:eastAsia="EC Square Sans Pro" w:hAnsi="Calibri Light" w:cs="Times New Roman"/>
      <w:color w:val="215E94"/>
      <w:kern w:val="0"/>
      <w:sz w:val="48"/>
      <w:szCs w:val="21"/>
      <w:lang w:val="en-GB" w:eastAsia="zh-CN"/>
      <w14:ligatures w14:val="none"/>
    </w:rPr>
  </w:style>
  <w:style w:type="paragraph" w:customStyle="1" w:styleId="amprT-AnnexesH2Title2">
    <w:name w:val="[ampr T-Annexes H2] Title 2"/>
    <w:basedOn w:val="Normal"/>
    <w:next w:val="amprBodyText"/>
    <w:uiPriority w:val="9"/>
    <w:semiHidden/>
    <w:qFormat/>
    <w:rsid w:val="0057062A"/>
    <w:pPr>
      <w:keepNext/>
      <w:keepLines/>
      <w:pBdr>
        <w:bottom w:val="single" w:sz="6" w:space="1" w:color="FFCE43"/>
      </w:pBdr>
      <w:suppressAutoHyphens/>
      <w:spacing w:before="480" w:line="264" w:lineRule="auto"/>
      <w:outlineLvl w:val="1"/>
    </w:pPr>
    <w:rPr>
      <w:rFonts w:ascii="Calibri Light" w:eastAsia="EC Square Sans Pro" w:hAnsi="Calibri Light" w:cs="Times New Roman"/>
      <w:b/>
      <w:color w:val="215E94"/>
      <w:kern w:val="0"/>
      <w:sz w:val="28"/>
      <w:szCs w:val="21"/>
      <w:lang w:val="en-GB" w:eastAsia="zh-CN"/>
      <w14:ligatures w14:val="none"/>
    </w:rPr>
  </w:style>
  <w:style w:type="paragraph" w:customStyle="1" w:styleId="amprT-AnnexesH2Title2-ManNum-11">
    <w:name w:val="[ampr T-Annexes H2] Title 2 - Man Num - 1.1."/>
    <w:basedOn w:val="Normal"/>
    <w:next w:val="amprBodyText"/>
    <w:uiPriority w:val="9"/>
    <w:rsid w:val="0057062A"/>
    <w:pPr>
      <w:keepNext/>
      <w:keepLines/>
      <w:pBdr>
        <w:bottom w:val="single" w:sz="6" w:space="1" w:color="FFCE43"/>
      </w:pBdr>
      <w:suppressAutoHyphens/>
      <w:spacing w:before="480" w:line="264" w:lineRule="auto"/>
      <w:ind w:left="578" w:hanging="578"/>
      <w:outlineLvl w:val="1"/>
    </w:pPr>
    <w:rPr>
      <w:rFonts w:ascii="Calibri Light" w:eastAsia="EC Square Sans Pro" w:hAnsi="Calibri Light" w:cs="Times New Roman"/>
      <w:b/>
      <w:color w:val="215E94"/>
      <w:kern w:val="0"/>
      <w:sz w:val="28"/>
      <w:szCs w:val="21"/>
      <w:lang w:val="en-GB" w:eastAsia="zh-CN"/>
      <w14:ligatures w14:val="none"/>
    </w:rPr>
  </w:style>
  <w:style w:type="paragraph" w:customStyle="1" w:styleId="amprT-AnnexesH3Subhead1">
    <w:name w:val="[ampr T-Annexes H3] Subhead 1"/>
    <w:basedOn w:val="Normal"/>
    <w:next w:val="Normal"/>
    <w:uiPriority w:val="9"/>
    <w:semiHidden/>
    <w:qFormat/>
    <w:rsid w:val="0057062A"/>
    <w:pPr>
      <w:keepNext/>
      <w:keepLines/>
      <w:suppressAutoHyphens/>
      <w:spacing w:before="480" w:line="264" w:lineRule="auto"/>
      <w:outlineLvl w:val="2"/>
    </w:pPr>
    <w:rPr>
      <w:rFonts w:eastAsia="EC Square Sans Pro" w:cs="Times New Roman"/>
      <w:color w:val="215E94"/>
      <w:kern w:val="0"/>
      <w:sz w:val="28"/>
      <w:szCs w:val="21"/>
      <w:lang w:val="en-GB" w:eastAsia="zh-CN"/>
      <w14:ligatures w14:val="none"/>
    </w:rPr>
  </w:style>
  <w:style w:type="paragraph" w:customStyle="1" w:styleId="amprT-AnnexesH4Subhead2">
    <w:name w:val="[ampr T-Annexes H4] Subhead 2"/>
    <w:basedOn w:val="Normal"/>
    <w:next w:val="Normal"/>
    <w:uiPriority w:val="9"/>
    <w:semiHidden/>
    <w:qFormat/>
    <w:rsid w:val="0057062A"/>
    <w:pPr>
      <w:keepNext/>
      <w:keepLines/>
      <w:suppressAutoHyphens/>
      <w:spacing w:before="480" w:line="264" w:lineRule="auto"/>
      <w:outlineLvl w:val="3"/>
    </w:pPr>
    <w:rPr>
      <w:rFonts w:eastAsia="EC Square Sans Pro" w:cs="Times New Roman"/>
      <w:b/>
      <w:color w:val="215E94"/>
      <w:kern w:val="0"/>
      <w:sz w:val="24"/>
      <w:szCs w:val="21"/>
      <w:lang w:val="en-GB" w:eastAsia="zh-CN"/>
      <w14:ligatures w14:val="none"/>
    </w:rPr>
  </w:style>
  <w:style w:type="paragraph" w:customStyle="1" w:styleId="amprT-AnnexesH5Subhead3">
    <w:name w:val="[ampr T-Annexes H5] Subhead 3"/>
    <w:basedOn w:val="Normal"/>
    <w:next w:val="Normal"/>
    <w:uiPriority w:val="9"/>
    <w:semiHidden/>
    <w:qFormat/>
    <w:rsid w:val="0057062A"/>
    <w:pPr>
      <w:keepNext/>
      <w:keepLines/>
      <w:suppressAutoHyphens/>
      <w:spacing w:before="360" w:line="264" w:lineRule="auto"/>
      <w:ind w:left="340"/>
      <w:outlineLvl w:val="4"/>
    </w:pPr>
    <w:rPr>
      <w:rFonts w:ascii="Calibri Light" w:eastAsia="EC Square Sans Pro" w:hAnsi="Calibri Light" w:cs="Times New Roman"/>
      <w:b/>
      <w:color w:val="7A6DB2"/>
      <w:spacing w:val="12"/>
      <w:kern w:val="0"/>
      <w:szCs w:val="21"/>
      <w:lang w:val="en-GB" w:eastAsia="zh-CN"/>
      <w14:textOutline w14:w="9525" w14:cap="rnd" w14:cmpd="sng" w14:algn="ctr">
        <w14:noFill/>
        <w14:prstDash w14:val="solid"/>
        <w14:bevel/>
      </w14:textOutline>
      <w14:ligatures w14:val="none"/>
    </w:rPr>
  </w:style>
  <w:style w:type="paragraph" w:customStyle="1" w:styleId="amprH1Sectiontitle">
    <w:name w:val="[ampr H1] Section title"/>
    <w:basedOn w:val="Normal"/>
    <w:uiPriority w:val="9"/>
    <w:qFormat/>
    <w:rsid w:val="00021102"/>
    <w:pPr>
      <w:spacing w:after="0" w:line="264" w:lineRule="auto"/>
      <w:ind w:left="3912"/>
    </w:pPr>
    <w:rPr>
      <w:rFonts w:eastAsia="Times New Roman" w:cs="Times New Roman"/>
      <w:color w:val="003399" w:themeColor="text2"/>
      <w:kern w:val="0"/>
      <w:sz w:val="56"/>
      <w:szCs w:val="20"/>
      <w:lang w:val="en-GB" w:eastAsia="zh-CN"/>
      <w14:ligatures w14:val="none"/>
    </w:rPr>
  </w:style>
  <w:style w:type="paragraph" w:customStyle="1" w:styleId="amprH1Sectiontitleframestyle">
    <w:name w:val="[ampr H1] Section title (frame style)"/>
    <w:rsid w:val="0057062A"/>
    <w:pPr>
      <w:framePr w:w="6328" w:h="567" w:wrap="around" w:vAnchor="page" w:hAnchor="page" w:x="5104" w:y="11908" w:anchorLock="1"/>
      <w:spacing w:before="240" w:after="0" w:line="264" w:lineRule="auto"/>
      <w:outlineLvl w:val="0"/>
    </w:pPr>
    <w:rPr>
      <w:rFonts w:ascii="EC Square Sans Pro" w:hAnsi="EC Square Sans Pro" w:cs="Times New Roman"/>
      <w:color w:val="FFFFFF"/>
      <w:kern w:val="0"/>
      <w:sz w:val="52"/>
      <w:szCs w:val="96"/>
      <w:lang w:val="en-GB" w:eastAsia="zh-CN"/>
      <w14:ligatures w14:val="none"/>
    </w:rPr>
  </w:style>
  <w:style w:type="paragraph" w:customStyle="1" w:styleId="amprH1Sectiontitleframestylewith2lines">
    <w:name w:val="[ampr H1] Section title (frame style with 2 lines)"/>
    <w:basedOn w:val="amprH1Sectiontitleframestyle"/>
    <w:rsid w:val="0057062A"/>
    <w:pPr>
      <w:framePr w:wrap="around" w:y="11001"/>
    </w:pPr>
  </w:style>
  <w:style w:type="paragraph" w:customStyle="1" w:styleId="amprH1Sectiontitleframestylewith3lines">
    <w:name w:val="[ampr H1] Section title (frame style with 3 lines)"/>
    <w:basedOn w:val="amprH1Sectiontitleframestyle"/>
    <w:rsid w:val="0057062A"/>
    <w:pPr>
      <w:framePr w:wrap="around" w:y="10094"/>
    </w:pPr>
  </w:style>
  <w:style w:type="paragraph" w:customStyle="1" w:styleId="StyleTitlePageDateCentered">
    <w:name w:val="Style Title Page Date + Centered"/>
    <w:basedOn w:val="TitlePageDate"/>
    <w:rsid w:val="0057062A"/>
    <w:pPr>
      <w:ind w:left="851" w:right="851"/>
      <w:contextualSpacing w:val="0"/>
      <w:jc w:val="center"/>
    </w:pPr>
  </w:style>
  <w:style w:type="paragraph" w:customStyle="1" w:styleId="Char2">
    <w:name w:val="Char2"/>
    <w:basedOn w:val="Normal"/>
    <w:link w:val="FootnoteReference"/>
    <w:uiPriority w:val="99"/>
    <w:rsid w:val="0057062A"/>
    <w:pPr>
      <w:spacing w:line="240" w:lineRule="exact"/>
    </w:pPr>
    <w:rPr>
      <w:vertAlign w:val="superscript"/>
    </w:rPr>
  </w:style>
  <w:style w:type="paragraph" w:customStyle="1" w:styleId="ListBullet1Level4">
    <w:name w:val="List Bullet 1 (Level 4)"/>
    <w:basedOn w:val="Normal"/>
    <w:uiPriority w:val="35"/>
    <w:unhideWhenUsed/>
    <w:rsid w:val="0057062A"/>
    <w:pPr>
      <w:numPr>
        <w:ilvl w:val="3"/>
        <w:numId w:val="42"/>
      </w:numPr>
      <w:tabs>
        <w:tab w:val="clear" w:pos="1616"/>
      </w:tabs>
      <w:spacing w:line="240" w:lineRule="auto"/>
      <w:ind w:left="1440" w:hanging="360"/>
      <w:jc w:val="both"/>
    </w:pPr>
    <w:rPr>
      <w:rFonts w:ascii="Times New Roman" w:eastAsia="Times New Roman" w:hAnsi="Times New Roman" w:cs="Times New Roman"/>
      <w:kern w:val="0"/>
      <w:sz w:val="24"/>
      <w:szCs w:val="20"/>
      <w:lang w:val="en-GB" w:eastAsia="en-GB"/>
      <w14:ligatures w14:val="none"/>
    </w:rPr>
  </w:style>
  <w:style w:type="paragraph" w:customStyle="1" w:styleId="ListBullet1Level3">
    <w:name w:val="List Bullet 1 (Level 3)"/>
    <w:basedOn w:val="Normal"/>
    <w:uiPriority w:val="35"/>
    <w:unhideWhenUsed/>
    <w:rsid w:val="0057062A"/>
    <w:pPr>
      <w:numPr>
        <w:ilvl w:val="2"/>
        <w:numId w:val="42"/>
      </w:numPr>
      <w:tabs>
        <w:tab w:val="clear" w:pos="1332"/>
      </w:tabs>
      <w:spacing w:line="240" w:lineRule="auto"/>
      <w:ind w:left="1080" w:hanging="360"/>
      <w:jc w:val="both"/>
    </w:pPr>
    <w:rPr>
      <w:rFonts w:ascii="Times New Roman" w:eastAsia="Times New Roman" w:hAnsi="Times New Roman" w:cs="Times New Roman"/>
      <w:kern w:val="0"/>
      <w:sz w:val="24"/>
      <w:szCs w:val="20"/>
      <w:lang w:val="en-GB" w:eastAsia="en-GB"/>
      <w14:ligatures w14:val="none"/>
    </w:rPr>
  </w:style>
  <w:style w:type="paragraph" w:customStyle="1" w:styleId="ListBullet1Level2">
    <w:name w:val="List Bullet 1 (Level 2)"/>
    <w:basedOn w:val="Normal"/>
    <w:uiPriority w:val="35"/>
    <w:rsid w:val="0057062A"/>
    <w:pPr>
      <w:numPr>
        <w:ilvl w:val="1"/>
        <w:numId w:val="42"/>
      </w:numPr>
      <w:tabs>
        <w:tab w:val="clear" w:pos="1049"/>
      </w:tabs>
      <w:spacing w:line="240" w:lineRule="auto"/>
      <w:ind w:left="720" w:hanging="360"/>
      <w:jc w:val="both"/>
    </w:pPr>
    <w:rPr>
      <w:rFonts w:ascii="Times New Roman" w:eastAsia="Times New Roman" w:hAnsi="Times New Roman" w:cs="Times New Roman"/>
      <w:kern w:val="0"/>
      <w:sz w:val="24"/>
      <w:szCs w:val="20"/>
      <w:lang w:val="en-GB" w:eastAsia="en-GB"/>
      <w14:ligatures w14:val="none"/>
    </w:rPr>
  </w:style>
  <w:style w:type="paragraph" w:customStyle="1" w:styleId="ListBullet1">
    <w:name w:val="List Bullet 1"/>
    <w:basedOn w:val="Normal"/>
    <w:uiPriority w:val="35"/>
    <w:rsid w:val="0057062A"/>
    <w:pPr>
      <w:numPr>
        <w:numId w:val="42"/>
      </w:numPr>
      <w:tabs>
        <w:tab w:val="clear" w:pos="765"/>
      </w:tabs>
      <w:spacing w:line="240" w:lineRule="auto"/>
      <w:ind w:left="360" w:hanging="360"/>
      <w:jc w:val="both"/>
    </w:pPr>
    <w:rPr>
      <w:rFonts w:ascii="Times New Roman" w:eastAsia="Times New Roman" w:hAnsi="Times New Roman" w:cs="Times New Roman"/>
      <w:kern w:val="0"/>
      <w:sz w:val="24"/>
      <w:szCs w:val="20"/>
      <w:lang w:val="en-GB" w:eastAsia="en-GB"/>
      <w14:ligatures w14:val="none"/>
    </w:rPr>
  </w:style>
  <w:style w:type="character" w:customStyle="1" w:styleId="ListParagraphChar">
    <w:name w:val="List Paragraph Char"/>
    <w:aliases w:val="Table of contents numbered Char,Normal bullet 2 Char,Numbered paragraph 1 Char,Paragrafo elenco Char,1st level - Bullet List Paragraph Char,Lettre d'introduction Char,List Paragraph1 Char,Paragraphe de liste1 Char,2 Char"/>
    <w:link w:val="ListParagraph"/>
    <w:uiPriority w:val="34"/>
    <w:qFormat/>
    <w:locked/>
    <w:rsid w:val="0057062A"/>
    <w:rPr>
      <w:rFonts w:ascii="Calibri" w:hAnsi="Calibri" w:cs="Times New Roman"/>
      <w:lang w:val="en-GB"/>
    </w:rPr>
  </w:style>
  <w:style w:type="character" w:customStyle="1" w:styleId="Text2Char">
    <w:name w:val="Text 2 Char"/>
    <w:link w:val="Text2"/>
    <w:locked/>
    <w:rsid w:val="0057062A"/>
    <w:rPr>
      <w:rFonts w:ascii="Times New Roman" w:hAnsi="Times New Roman" w:cs="Times New Roman"/>
      <w:sz w:val="24"/>
      <w:lang w:val="en-GB"/>
    </w:rPr>
  </w:style>
  <w:style w:type="paragraph" w:customStyle="1" w:styleId="ListNumber4Level4">
    <w:name w:val="List Number 4 (Level 4)"/>
    <w:basedOn w:val="Normal"/>
    <w:unhideWhenUsed/>
    <w:rsid w:val="0057062A"/>
    <w:pPr>
      <w:tabs>
        <w:tab w:val="num" w:pos="4037"/>
      </w:tabs>
      <w:spacing w:line="240" w:lineRule="auto"/>
      <w:ind w:left="4037" w:hanging="709"/>
      <w:jc w:val="both"/>
    </w:pPr>
    <w:rPr>
      <w:rFonts w:ascii="Times New Roman" w:eastAsia="Times New Roman" w:hAnsi="Times New Roman" w:cs="Times New Roman"/>
      <w:kern w:val="0"/>
      <w:sz w:val="24"/>
      <w:szCs w:val="20"/>
      <w:lang w:val="en-GB" w:eastAsia="en-GB"/>
      <w14:ligatures w14:val="none"/>
    </w:rPr>
  </w:style>
  <w:style w:type="paragraph" w:customStyle="1" w:styleId="ListNumber4Level3">
    <w:name w:val="List Number 4 (Level 3)"/>
    <w:basedOn w:val="Normal"/>
    <w:unhideWhenUsed/>
    <w:rsid w:val="0057062A"/>
    <w:pPr>
      <w:tabs>
        <w:tab w:val="num" w:pos="3328"/>
      </w:tabs>
      <w:spacing w:line="240" w:lineRule="auto"/>
      <w:ind w:left="3328" w:hanging="709"/>
      <w:jc w:val="both"/>
    </w:pPr>
    <w:rPr>
      <w:rFonts w:ascii="Times New Roman" w:eastAsia="Times New Roman" w:hAnsi="Times New Roman" w:cs="Times New Roman"/>
      <w:kern w:val="0"/>
      <w:sz w:val="24"/>
      <w:szCs w:val="20"/>
      <w:lang w:val="en-GB" w:eastAsia="en-GB"/>
      <w14:ligatures w14:val="none"/>
    </w:rPr>
  </w:style>
  <w:style w:type="paragraph" w:customStyle="1" w:styleId="ListNumber4Level2">
    <w:name w:val="List Number 4 (Level 2)"/>
    <w:basedOn w:val="Normal"/>
    <w:rsid w:val="0057062A"/>
    <w:pPr>
      <w:tabs>
        <w:tab w:val="num" w:pos="2619"/>
      </w:tabs>
      <w:spacing w:line="240" w:lineRule="auto"/>
      <w:ind w:left="2619" w:hanging="708"/>
      <w:jc w:val="both"/>
    </w:pPr>
    <w:rPr>
      <w:rFonts w:ascii="Times New Roman" w:eastAsia="Times New Roman" w:hAnsi="Times New Roman" w:cs="Times New Roman"/>
      <w:kern w:val="0"/>
      <w:sz w:val="24"/>
      <w:szCs w:val="20"/>
      <w:lang w:val="en-GB" w:eastAsia="en-GB"/>
      <w14:ligatures w14:val="none"/>
    </w:rPr>
  </w:style>
  <w:style w:type="numbering" w:customStyle="1" w:styleId="List51">
    <w:name w:val="List 51"/>
    <w:basedOn w:val="NoList"/>
    <w:rsid w:val="0057062A"/>
    <w:pPr>
      <w:numPr>
        <w:numId w:val="43"/>
      </w:numPr>
    </w:pPr>
  </w:style>
  <w:style w:type="paragraph" w:customStyle="1" w:styleId="ListBullet2Level4">
    <w:name w:val="List Bullet 2 (Level 4)"/>
    <w:basedOn w:val="Text2"/>
    <w:semiHidden/>
    <w:unhideWhenUsed/>
    <w:rsid w:val="0057062A"/>
    <w:pPr>
      <w:tabs>
        <w:tab w:val="num" w:pos="2336"/>
      </w:tabs>
      <w:spacing w:before="0" w:after="240"/>
      <w:ind w:left="2336" w:hanging="284"/>
    </w:pPr>
    <w:rPr>
      <w:rFonts w:eastAsia="Times New Roman"/>
      <w:kern w:val="0"/>
      <w:szCs w:val="20"/>
      <w:lang w:eastAsia="en-GB"/>
      <w14:ligatures w14:val="none"/>
    </w:rPr>
  </w:style>
  <w:style w:type="paragraph" w:customStyle="1" w:styleId="ListBullet2Level3">
    <w:name w:val="List Bullet 2 (Level 3)"/>
    <w:basedOn w:val="Text2"/>
    <w:semiHidden/>
    <w:unhideWhenUsed/>
    <w:rsid w:val="0057062A"/>
    <w:pPr>
      <w:tabs>
        <w:tab w:val="num" w:pos="2052"/>
      </w:tabs>
      <w:spacing w:before="0" w:after="240"/>
      <w:ind w:left="2052" w:hanging="283"/>
    </w:pPr>
    <w:rPr>
      <w:rFonts w:eastAsia="Times New Roman"/>
      <w:kern w:val="0"/>
      <w:szCs w:val="20"/>
      <w:lang w:eastAsia="en-GB"/>
      <w14:ligatures w14:val="none"/>
    </w:rPr>
  </w:style>
  <w:style w:type="paragraph" w:customStyle="1" w:styleId="ListBullet2Level2">
    <w:name w:val="List Bullet 2 (Level 2)"/>
    <w:basedOn w:val="Text2"/>
    <w:rsid w:val="0057062A"/>
    <w:pPr>
      <w:tabs>
        <w:tab w:val="num" w:pos="1769"/>
      </w:tabs>
      <w:spacing w:before="0" w:after="240"/>
      <w:ind w:left="1769" w:hanging="284"/>
    </w:pPr>
    <w:rPr>
      <w:rFonts w:eastAsia="Times New Roman"/>
      <w:kern w:val="0"/>
      <w:szCs w:val="20"/>
      <w:lang w:eastAsia="en-GB"/>
      <w14:ligatures w14:val="none"/>
    </w:rPr>
  </w:style>
  <w:style w:type="character" w:customStyle="1" w:styleId="Text1Char">
    <w:name w:val="Text 1 Char"/>
    <w:link w:val="Text1"/>
    <w:uiPriority w:val="1"/>
    <w:locked/>
    <w:rsid w:val="0057062A"/>
    <w:rPr>
      <w:rFonts w:ascii="Times New Roman" w:hAnsi="Times New Roman" w:cs="Times New Roman"/>
      <w:sz w:val="24"/>
      <w:lang w:val="en-GB"/>
    </w:rPr>
  </w:style>
  <w:style w:type="paragraph" w:styleId="Revision">
    <w:name w:val="Revision"/>
    <w:hidden/>
    <w:semiHidden/>
    <w:rsid w:val="0057062A"/>
    <w:pPr>
      <w:spacing w:after="0" w:line="240" w:lineRule="auto"/>
    </w:pPr>
    <w:rPr>
      <w:rFonts w:ascii="EC Square Sans Pro" w:eastAsia="Times New Roman" w:hAnsi="EC Square Sans Pro" w:cs="Times New Roman"/>
      <w:kern w:val="0"/>
      <w:sz w:val="20"/>
      <w:szCs w:val="20"/>
      <w:lang w:val="en-GB" w:eastAsia="en-GB"/>
      <w14:ligatures w14:val="none"/>
    </w:rPr>
  </w:style>
  <w:style w:type="paragraph" w:customStyle="1" w:styleId="bulletbold">
    <w:name w:val="bullet/bold"/>
    <w:basedOn w:val="ListParagraph"/>
    <w:link w:val="bulletboldChar"/>
    <w:uiPriority w:val="2"/>
    <w:qFormat/>
    <w:rsid w:val="00021102"/>
    <w:pPr>
      <w:numPr>
        <w:numId w:val="45"/>
      </w:numPr>
      <w:spacing w:after="60" w:line="276" w:lineRule="auto"/>
      <w:ind w:left="782" w:hanging="357"/>
    </w:pPr>
    <w:rPr>
      <w:rFonts w:ascii="EC Square Sans Pro" w:eastAsia="Times New Roman" w:hAnsi="EC Square Sans Pro"/>
      <w:b/>
      <w:iCs/>
      <w:color w:val="003399" w:themeColor="text2"/>
      <w:kern w:val="0"/>
      <w:szCs w:val="20"/>
      <w:lang w:eastAsia="en-GB"/>
      <w14:ligatures w14:val="none"/>
    </w:rPr>
  </w:style>
  <w:style w:type="paragraph" w:customStyle="1" w:styleId="bullets-orange">
    <w:name w:val="[bullets - orange]"/>
    <w:basedOn w:val="Normal"/>
    <w:rsid w:val="0057062A"/>
    <w:pPr>
      <w:numPr>
        <w:ilvl w:val="1"/>
        <w:numId w:val="48"/>
      </w:numPr>
      <w:spacing w:line="264" w:lineRule="auto"/>
    </w:pPr>
    <w:rPr>
      <w:rFonts w:eastAsia="Times New Roman" w:cs="Times New Roman"/>
      <w:kern w:val="0"/>
      <w:szCs w:val="20"/>
      <w:lang w:val="en-GB" w:eastAsia="en-GB"/>
      <w14:ligatures w14:val="none"/>
    </w:rPr>
  </w:style>
  <w:style w:type="character" w:customStyle="1" w:styleId="bulletboldChar">
    <w:name w:val="bullet/bold Char"/>
    <w:basedOn w:val="ListParagraphChar"/>
    <w:link w:val="bulletbold"/>
    <w:uiPriority w:val="2"/>
    <w:rsid w:val="00021102"/>
    <w:rPr>
      <w:rFonts w:ascii="EC Square Sans Pro" w:eastAsia="Times New Roman" w:hAnsi="EC Square Sans Pro" w:cs="Times New Roman"/>
      <w:b/>
      <w:iCs/>
      <w:color w:val="003399" w:themeColor="text2"/>
      <w:kern w:val="0"/>
      <w:sz w:val="20"/>
      <w:szCs w:val="20"/>
      <w:lang w:val="en-GB" w:eastAsia="en-GB"/>
      <w14:ligatures w14:val="none"/>
    </w:rPr>
  </w:style>
  <w:style w:type="character" w:styleId="PlaceholderText">
    <w:name w:val="Placeholder Text"/>
    <w:basedOn w:val="DefaultParagraphFont"/>
    <w:uiPriority w:val="99"/>
    <w:semiHidden/>
    <w:rsid w:val="0057062A"/>
    <w:rPr>
      <w:color w:val="808080"/>
    </w:rPr>
  </w:style>
  <w:style w:type="paragraph" w:styleId="EndnoteText">
    <w:name w:val="endnote text"/>
    <w:basedOn w:val="Normal"/>
    <w:link w:val="EndnoteTextChar1"/>
    <w:uiPriority w:val="99"/>
    <w:semiHidden/>
    <w:unhideWhenUsed/>
    <w:rsid w:val="0057062A"/>
    <w:pPr>
      <w:spacing w:after="0" w:line="240" w:lineRule="auto"/>
    </w:pPr>
    <w:rPr>
      <w:szCs w:val="20"/>
    </w:rPr>
  </w:style>
  <w:style w:type="character" w:customStyle="1" w:styleId="EndnoteTextChar1">
    <w:name w:val="Endnote Text Char1"/>
    <w:basedOn w:val="DefaultParagraphFont"/>
    <w:link w:val="EndnoteText"/>
    <w:uiPriority w:val="99"/>
    <w:semiHidden/>
    <w:rsid w:val="0057062A"/>
    <w:rPr>
      <w:sz w:val="20"/>
      <w:szCs w:val="20"/>
    </w:rPr>
  </w:style>
  <w:style w:type="paragraph" w:styleId="Subtitle">
    <w:name w:val="Subtitle"/>
    <w:basedOn w:val="Normal"/>
    <w:next w:val="Normal"/>
    <w:link w:val="SubtitleChar"/>
    <w:uiPriority w:val="15"/>
    <w:rsid w:val="0057062A"/>
    <w:pPr>
      <w:numPr>
        <w:ilvl w:val="1"/>
      </w:numPr>
    </w:pPr>
    <w:rPr>
      <w:rFonts w:eastAsia="Times New Roman" w:cs="Times New Roman"/>
      <w:b/>
      <w:color w:val="215E94"/>
      <w:sz w:val="52"/>
      <w:szCs w:val="20"/>
      <w:lang w:val="en-GB" w:eastAsia="en-GB"/>
    </w:rPr>
  </w:style>
  <w:style w:type="character" w:customStyle="1" w:styleId="SubtitleChar1">
    <w:name w:val="Subtitle Char1"/>
    <w:basedOn w:val="DefaultParagraphFont"/>
    <w:uiPriority w:val="11"/>
    <w:rsid w:val="0057062A"/>
    <w:rPr>
      <w:rFonts w:eastAsiaTheme="minorEastAsia"/>
      <w:color w:val="5A5A5A" w:themeColor="text1" w:themeTint="A5"/>
      <w:spacing w:val="15"/>
    </w:rPr>
  </w:style>
  <w:style w:type="paragraph" w:customStyle="1" w:styleId="BlockText2">
    <w:name w:val="Block Text2"/>
    <w:basedOn w:val="Normal"/>
    <w:next w:val="BlockText"/>
    <w:uiPriority w:val="99"/>
    <w:semiHidden/>
    <w:unhideWhenUsed/>
    <w:rsid w:val="0057062A"/>
    <w:pPr>
      <w:pBdr>
        <w:top w:val="single" w:sz="2" w:space="10" w:color="02847D"/>
        <w:left w:val="single" w:sz="2" w:space="10" w:color="02847D"/>
        <w:bottom w:val="single" w:sz="2" w:space="10" w:color="02847D"/>
        <w:right w:val="single" w:sz="2" w:space="10" w:color="02847D"/>
      </w:pBdr>
      <w:ind w:left="1152" w:right="1152"/>
    </w:pPr>
    <w:rPr>
      <w:rFonts w:eastAsia="Yu Mincho"/>
      <w:i/>
      <w:iCs/>
      <w:color w:val="02847D"/>
    </w:rPr>
  </w:style>
  <w:style w:type="paragraph" w:customStyle="1" w:styleId="EnvelopeAddress2">
    <w:name w:val="Envelope Address2"/>
    <w:basedOn w:val="Normal"/>
    <w:next w:val="EnvelopeAddress"/>
    <w:uiPriority w:val="99"/>
    <w:semiHidden/>
    <w:unhideWhenUsed/>
    <w:rsid w:val="0057062A"/>
    <w:pPr>
      <w:framePr w:w="7920" w:h="1980" w:hRule="exact" w:hSpace="180" w:wrap="auto" w:hAnchor="page" w:xAlign="center" w:yAlign="bottom"/>
      <w:spacing w:after="0" w:line="240" w:lineRule="auto"/>
      <w:ind w:left="2880"/>
    </w:pPr>
    <w:rPr>
      <w:rFonts w:ascii="Calibri Light" w:eastAsia="Yu Gothic Light" w:hAnsi="Calibri Light" w:cs="Tunga"/>
      <w:sz w:val="24"/>
      <w:szCs w:val="24"/>
    </w:rPr>
  </w:style>
  <w:style w:type="paragraph" w:customStyle="1" w:styleId="EnvelopeReturn2">
    <w:name w:val="Envelope Return2"/>
    <w:basedOn w:val="Normal"/>
    <w:next w:val="EnvelopeReturn"/>
    <w:uiPriority w:val="99"/>
    <w:semiHidden/>
    <w:unhideWhenUsed/>
    <w:rsid w:val="0057062A"/>
    <w:pPr>
      <w:spacing w:after="0" w:line="240" w:lineRule="auto"/>
    </w:pPr>
    <w:rPr>
      <w:rFonts w:ascii="Calibri Light" w:eastAsia="Yu Gothic Light" w:hAnsi="Calibri Light" w:cs="Tunga"/>
      <w:szCs w:val="20"/>
    </w:rPr>
  </w:style>
  <w:style w:type="character" w:customStyle="1" w:styleId="IntenseEmphasis2">
    <w:name w:val="Intense Emphasis2"/>
    <w:basedOn w:val="DefaultParagraphFont"/>
    <w:uiPriority w:val="21"/>
    <w:qFormat/>
    <w:rsid w:val="0057062A"/>
    <w:rPr>
      <w:i/>
      <w:iCs/>
      <w:color w:val="02847D"/>
    </w:rPr>
  </w:style>
  <w:style w:type="paragraph" w:customStyle="1" w:styleId="IntenseQuote2">
    <w:name w:val="Intense Quote2"/>
    <w:basedOn w:val="Normal"/>
    <w:next w:val="Normal"/>
    <w:uiPriority w:val="39"/>
    <w:qFormat/>
    <w:rsid w:val="0057062A"/>
    <w:pPr>
      <w:pBdr>
        <w:top w:val="single" w:sz="4" w:space="10" w:color="02847D"/>
        <w:bottom w:val="single" w:sz="4" w:space="10" w:color="02847D"/>
      </w:pBdr>
      <w:spacing w:before="360" w:after="360"/>
      <w:ind w:left="864" w:right="864"/>
      <w:jc w:val="center"/>
    </w:pPr>
    <w:rPr>
      <w:rFonts w:eastAsia="Times New Roman" w:cs="Times New Roman"/>
      <w:i/>
      <w:iCs/>
      <w:color w:val="7A6DB2"/>
      <w:szCs w:val="20"/>
      <w:lang w:val="en-GB" w:eastAsia="en-GB"/>
    </w:rPr>
  </w:style>
  <w:style w:type="character" w:customStyle="1" w:styleId="IntenseQuoteChar1">
    <w:name w:val="Intense Quote Char1"/>
    <w:basedOn w:val="DefaultParagraphFont"/>
    <w:uiPriority w:val="30"/>
    <w:rsid w:val="0057062A"/>
    <w:rPr>
      <w:i/>
      <w:iCs/>
      <w:color w:val="02847D"/>
    </w:rPr>
  </w:style>
  <w:style w:type="character" w:customStyle="1" w:styleId="IntenseReference2">
    <w:name w:val="Intense Reference2"/>
    <w:basedOn w:val="DefaultParagraphFont"/>
    <w:uiPriority w:val="32"/>
    <w:qFormat/>
    <w:rsid w:val="0057062A"/>
    <w:rPr>
      <w:b/>
      <w:bCs/>
      <w:smallCaps/>
      <w:color w:val="02847D"/>
      <w:spacing w:val="5"/>
    </w:rPr>
  </w:style>
  <w:style w:type="paragraph" w:customStyle="1" w:styleId="MessageHeader2">
    <w:name w:val="Message Header2"/>
    <w:basedOn w:val="Normal"/>
    <w:next w:val="MessageHeader"/>
    <w:link w:val="MessageHeaderChar1"/>
    <w:uiPriority w:val="99"/>
    <w:semiHidden/>
    <w:unhideWhenUsed/>
    <w:rsid w:val="0057062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libri Light" w:eastAsia="Yu Gothic Light" w:hAnsi="Calibri Light" w:cs="Tunga"/>
      <w:sz w:val="24"/>
      <w:szCs w:val="24"/>
    </w:rPr>
  </w:style>
  <w:style w:type="character" w:customStyle="1" w:styleId="MessageHeaderChar1">
    <w:name w:val="Message Header Char1"/>
    <w:basedOn w:val="DefaultParagraphFont"/>
    <w:link w:val="MessageHeader2"/>
    <w:uiPriority w:val="99"/>
    <w:semiHidden/>
    <w:rsid w:val="0057062A"/>
    <w:rPr>
      <w:rFonts w:ascii="Calibri Light" w:eastAsia="Yu Gothic Light" w:hAnsi="Calibri Light" w:cs="Tunga"/>
      <w:sz w:val="24"/>
      <w:szCs w:val="24"/>
      <w:shd w:val="pct20" w:color="auto" w:fill="auto"/>
    </w:rPr>
  </w:style>
  <w:style w:type="paragraph" w:styleId="Quote">
    <w:name w:val="Quote"/>
    <w:basedOn w:val="Normal"/>
    <w:next w:val="Normal"/>
    <w:link w:val="QuoteChar"/>
    <w:qFormat/>
    <w:rsid w:val="0057062A"/>
    <w:pPr>
      <w:spacing w:before="200"/>
      <w:ind w:left="864" w:right="864"/>
      <w:jc w:val="center"/>
    </w:pPr>
    <w:rPr>
      <w:rFonts w:eastAsia="Times New Roman" w:cs="Times New Roman"/>
      <w:i/>
      <w:iCs/>
      <w:color w:val="7A6DB2"/>
      <w:szCs w:val="20"/>
      <w:lang w:val="en-GB" w:eastAsia="en-GB"/>
    </w:rPr>
  </w:style>
  <w:style w:type="character" w:customStyle="1" w:styleId="QuoteChar1">
    <w:name w:val="Quote Char1"/>
    <w:basedOn w:val="DefaultParagraphFont"/>
    <w:uiPriority w:val="29"/>
    <w:rsid w:val="0057062A"/>
    <w:rPr>
      <w:i/>
      <w:iCs/>
      <w:color w:val="404040" w:themeColor="text1" w:themeTint="BF"/>
    </w:rPr>
  </w:style>
  <w:style w:type="character" w:customStyle="1" w:styleId="SubtleEmphasis2">
    <w:name w:val="Subtle Emphasis2"/>
    <w:basedOn w:val="DefaultParagraphFont"/>
    <w:uiPriority w:val="19"/>
    <w:qFormat/>
    <w:rsid w:val="0057062A"/>
    <w:rPr>
      <w:i/>
      <w:iCs/>
      <w:color w:val="404040"/>
    </w:rPr>
  </w:style>
  <w:style w:type="character" w:customStyle="1" w:styleId="SubtleReference2">
    <w:name w:val="Subtle Reference2"/>
    <w:basedOn w:val="DefaultParagraphFont"/>
    <w:uiPriority w:val="31"/>
    <w:qFormat/>
    <w:rsid w:val="0057062A"/>
    <w:rPr>
      <w:smallCaps/>
      <w:color w:val="5A5A5A"/>
    </w:rPr>
  </w:style>
  <w:style w:type="table" w:customStyle="1" w:styleId="ColorfulGrid2">
    <w:name w:val="Colorful Grid2"/>
    <w:basedOn w:val="TableNormal"/>
    <w:next w:val="ColorfulGrid"/>
    <w:uiPriority w:val="73"/>
    <w:semiHidden/>
    <w:unhideWhenUsed/>
    <w:rsid w:val="0057062A"/>
    <w:pPr>
      <w:spacing w:after="0" w:line="240" w:lineRule="auto"/>
    </w:pPr>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73"/>
    <w:semiHidden/>
    <w:unhideWhenUsed/>
    <w:rsid w:val="0057062A"/>
    <w:pPr>
      <w:spacing w:after="0" w:line="240" w:lineRule="auto"/>
    </w:pPr>
    <w:rPr>
      <w:color w:val="000000"/>
    </w:rPr>
    <w:tblPr>
      <w:tblStyleRowBandSize w:val="1"/>
      <w:tblStyleColBandSize w:val="1"/>
      <w:tblBorders>
        <w:insideH w:val="single" w:sz="4" w:space="0" w:color="FFFFFF"/>
      </w:tblBorders>
    </w:tblPr>
    <w:tcPr>
      <w:shd w:val="clear" w:color="auto" w:fill="B4FEF9"/>
    </w:tcPr>
    <w:tblStylePr w:type="firstRow">
      <w:rPr>
        <w:b/>
        <w:bCs/>
      </w:rPr>
      <w:tblPr/>
      <w:tcPr>
        <w:shd w:val="clear" w:color="auto" w:fill="6AFCF4"/>
      </w:tcPr>
    </w:tblStylePr>
    <w:tblStylePr w:type="lastRow">
      <w:rPr>
        <w:b/>
        <w:bCs/>
        <w:color w:val="000000"/>
      </w:rPr>
      <w:tblPr/>
      <w:tcPr>
        <w:shd w:val="clear" w:color="auto" w:fill="6AFCF4"/>
      </w:tcPr>
    </w:tblStylePr>
    <w:tblStylePr w:type="firstCol">
      <w:rPr>
        <w:color w:val="FFFFFF"/>
      </w:rPr>
      <w:tblPr/>
      <w:tcPr>
        <w:shd w:val="clear" w:color="auto" w:fill="01625D"/>
      </w:tcPr>
    </w:tblStylePr>
    <w:tblStylePr w:type="lastCol">
      <w:rPr>
        <w:color w:val="FFFFFF"/>
      </w:rPr>
      <w:tblPr/>
      <w:tcPr>
        <w:shd w:val="clear" w:color="auto" w:fill="01625D"/>
      </w:tcPr>
    </w:tblStylePr>
    <w:tblStylePr w:type="band1Vert">
      <w:tblPr/>
      <w:tcPr>
        <w:shd w:val="clear" w:color="auto" w:fill="46FCF2"/>
      </w:tcPr>
    </w:tblStylePr>
    <w:tblStylePr w:type="band1Horz">
      <w:tblPr/>
      <w:tcPr>
        <w:shd w:val="clear" w:color="auto" w:fill="46FCF2"/>
      </w:tcPr>
    </w:tblStylePr>
  </w:style>
  <w:style w:type="table" w:customStyle="1" w:styleId="ColorfulGrid-Accent22">
    <w:name w:val="Colorful Grid - Accent 22"/>
    <w:basedOn w:val="TableNormal"/>
    <w:next w:val="ColorfulGrid-Accent2"/>
    <w:uiPriority w:val="73"/>
    <w:semiHidden/>
    <w:unhideWhenUsed/>
    <w:rsid w:val="0057062A"/>
    <w:pPr>
      <w:spacing w:after="0" w:line="240" w:lineRule="auto"/>
    </w:pPr>
    <w:rPr>
      <w:color w:val="000000"/>
    </w:rPr>
    <w:tblPr>
      <w:tblStyleRowBandSize w:val="1"/>
      <w:tblStyleColBandSize w:val="1"/>
      <w:tblBorders>
        <w:insideH w:val="single" w:sz="4" w:space="0" w:color="FFFFFF"/>
      </w:tblBorders>
    </w:tblPr>
    <w:tcPr>
      <w:shd w:val="clear" w:color="auto" w:fill="FCE1D9"/>
    </w:tcPr>
    <w:tblStylePr w:type="firstRow">
      <w:rPr>
        <w:b/>
        <w:bCs/>
      </w:rPr>
      <w:tblPr/>
      <w:tcPr>
        <w:shd w:val="clear" w:color="auto" w:fill="FAC4B4"/>
      </w:tcPr>
    </w:tblStylePr>
    <w:tblStylePr w:type="lastRow">
      <w:rPr>
        <w:b/>
        <w:bCs/>
        <w:color w:val="000000"/>
      </w:rPr>
      <w:tblPr/>
      <w:tcPr>
        <w:shd w:val="clear" w:color="auto" w:fill="FAC4B4"/>
      </w:tcPr>
    </w:tblStylePr>
    <w:tblStylePr w:type="firstCol">
      <w:rPr>
        <w:color w:val="FFFFFF"/>
      </w:rPr>
      <w:tblPr/>
      <w:tcPr>
        <w:shd w:val="clear" w:color="auto" w:fill="DA3F0E"/>
      </w:tcPr>
    </w:tblStylePr>
    <w:tblStylePr w:type="lastCol">
      <w:rPr>
        <w:color w:val="FFFFFF"/>
      </w:rPr>
      <w:tblPr/>
      <w:tcPr>
        <w:shd w:val="clear" w:color="auto" w:fill="DA3F0E"/>
      </w:tcPr>
    </w:tblStylePr>
    <w:tblStylePr w:type="band1Vert">
      <w:tblPr/>
      <w:tcPr>
        <w:shd w:val="clear" w:color="auto" w:fill="F9B6A1"/>
      </w:tcPr>
    </w:tblStylePr>
    <w:tblStylePr w:type="band1Horz">
      <w:tblPr/>
      <w:tcPr>
        <w:shd w:val="clear" w:color="auto" w:fill="F9B6A1"/>
      </w:tcPr>
    </w:tblStylePr>
  </w:style>
  <w:style w:type="table" w:customStyle="1" w:styleId="ColorfulGrid-Accent32">
    <w:name w:val="Colorful Grid - Accent 32"/>
    <w:basedOn w:val="TableNormal"/>
    <w:next w:val="ColorfulGrid-Accent3"/>
    <w:uiPriority w:val="73"/>
    <w:semiHidden/>
    <w:unhideWhenUsed/>
    <w:rsid w:val="0057062A"/>
    <w:pPr>
      <w:spacing w:after="0" w:line="240" w:lineRule="auto"/>
    </w:pPr>
    <w:rPr>
      <w:color w:val="000000"/>
    </w:rPr>
    <w:tblPr>
      <w:tblStyleRowBandSize w:val="1"/>
      <w:tblStyleColBandSize w:val="1"/>
      <w:tblBorders>
        <w:insideH w:val="single" w:sz="4" w:space="0" w:color="FFFFFF"/>
      </w:tblBorders>
    </w:tblPr>
    <w:tcPr>
      <w:shd w:val="clear" w:color="auto" w:fill="DDF1F0"/>
    </w:tcPr>
    <w:tblStylePr w:type="firstRow">
      <w:rPr>
        <w:b/>
        <w:bCs/>
      </w:rPr>
      <w:tblPr/>
      <w:tcPr>
        <w:shd w:val="clear" w:color="auto" w:fill="BCE4E2"/>
      </w:tcPr>
    </w:tblStylePr>
    <w:tblStylePr w:type="lastRow">
      <w:rPr>
        <w:b/>
        <w:bCs/>
        <w:color w:val="000000"/>
      </w:rPr>
      <w:tblPr/>
      <w:tcPr>
        <w:shd w:val="clear" w:color="auto" w:fill="BCE4E2"/>
      </w:tcPr>
    </w:tblStylePr>
    <w:tblStylePr w:type="firstCol">
      <w:rPr>
        <w:color w:val="FFFFFF"/>
      </w:rPr>
      <w:tblPr/>
      <w:tcPr>
        <w:shd w:val="clear" w:color="auto" w:fill="3B9490"/>
      </w:tcPr>
    </w:tblStylePr>
    <w:tblStylePr w:type="lastCol">
      <w:rPr>
        <w:color w:val="FFFFFF"/>
      </w:rPr>
      <w:tblPr/>
      <w:tcPr>
        <w:shd w:val="clear" w:color="auto" w:fill="3B9490"/>
      </w:tcPr>
    </w:tblStylePr>
    <w:tblStylePr w:type="band1Vert">
      <w:tblPr/>
      <w:tcPr>
        <w:shd w:val="clear" w:color="auto" w:fill="ACDEDB"/>
      </w:tcPr>
    </w:tblStylePr>
    <w:tblStylePr w:type="band1Horz">
      <w:tblPr/>
      <w:tcPr>
        <w:shd w:val="clear" w:color="auto" w:fill="ACDEDB"/>
      </w:tcPr>
    </w:tblStylePr>
  </w:style>
  <w:style w:type="table" w:customStyle="1" w:styleId="ColorfulGrid-Accent42">
    <w:name w:val="Colorful Grid - Accent 42"/>
    <w:basedOn w:val="TableNormal"/>
    <w:next w:val="ColorfulGrid-Accent4"/>
    <w:uiPriority w:val="73"/>
    <w:semiHidden/>
    <w:unhideWhenUsed/>
    <w:rsid w:val="0057062A"/>
    <w:pPr>
      <w:spacing w:after="0" w:line="240" w:lineRule="auto"/>
    </w:pPr>
    <w:rPr>
      <w:color w:val="000000"/>
    </w:rPr>
    <w:tblPr>
      <w:tblStyleRowBandSize w:val="1"/>
      <w:tblStyleColBandSize w:val="1"/>
      <w:tblBorders>
        <w:insideH w:val="single" w:sz="4" w:space="0" w:color="FFFFFF"/>
      </w:tblBorders>
    </w:tblPr>
    <w:tcPr>
      <w:shd w:val="clear" w:color="auto" w:fill="FEF0D6"/>
    </w:tcPr>
    <w:tblStylePr w:type="firstRow">
      <w:rPr>
        <w:b/>
        <w:bCs/>
      </w:rPr>
      <w:tblPr/>
      <w:tcPr>
        <w:shd w:val="clear" w:color="auto" w:fill="FEE2AD"/>
      </w:tcPr>
    </w:tblStylePr>
    <w:tblStylePr w:type="lastRow">
      <w:rPr>
        <w:b/>
        <w:bCs/>
        <w:color w:val="000000"/>
      </w:rPr>
      <w:tblPr/>
      <w:tcPr>
        <w:shd w:val="clear" w:color="auto" w:fill="FEE2AD"/>
      </w:tcPr>
    </w:tblStylePr>
    <w:tblStylePr w:type="firstCol">
      <w:rPr>
        <w:color w:val="FFFFFF"/>
      </w:rPr>
      <w:tblPr/>
      <w:tcPr>
        <w:shd w:val="clear" w:color="auto" w:fill="E19602"/>
      </w:tcPr>
    </w:tblStylePr>
    <w:tblStylePr w:type="lastCol">
      <w:rPr>
        <w:color w:val="FFFFFF"/>
      </w:rPr>
      <w:tblPr/>
      <w:tcPr>
        <w:shd w:val="clear" w:color="auto" w:fill="E19602"/>
      </w:tcPr>
    </w:tblStylePr>
    <w:tblStylePr w:type="band1Vert">
      <w:tblPr/>
      <w:tcPr>
        <w:shd w:val="clear" w:color="auto" w:fill="FEDC99"/>
      </w:tcPr>
    </w:tblStylePr>
    <w:tblStylePr w:type="band1Horz">
      <w:tblPr/>
      <w:tcPr>
        <w:shd w:val="clear" w:color="auto" w:fill="FEDC99"/>
      </w:tcPr>
    </w:tblStylePr>
  </w:style>
  <w:style w:type="table" w:customStyle="1" w:styleId="ColorfulGrid-Accent52">
    <w:name w:val="Colorful Grid - Accent 52"/>
    <w:basedOn w:val="TableNormal"/>
    <w:next w:val="ColorfulGrid-Accent5"/>
    <w:uiPriority w:val="73"/>
    <w:semiHidden/>
    <w:unhideWhenUsed/>
    <w:rsid w:val="0057062A"/>
    <w:pPr>
      <w:spacing w:after="0" w:line="240" w:lineRule="auto"/>
    </w:pPr>
    <w:rPr>
      <w:color w:val="000000"/>
    </w:rPr>
    <w:tblPr>
      <w:tblStyleRowBandSize w:val="1"/>
      <w:tblStyleColBandSize w:val="1"/>
      <w:tblBorders>
        <w:insideH w:val="single" w:sz="4" w:space="0" w:color="FFFFFF"/>
      </w:tblBorders>
    </w:tblPr>
    <w:tcPr>
      <w:shd w:val="clear" w:color="auto" w:fill="E1EEE1"/>
    </w:tcPr>
    <w:tblStylePr w:type="firstRow">
      <w:rPr>
        <w:b/>
        <w:bCs/>
      </w:rPr>
      <w:tblPr/>
      <w:tcPr>
        <w:shd w:val="clear" w:color="auto" w:fill="C4DEC4"/>
      </w:tcPr>
    </w:tblStylePr>
    <w:tblStylePr w:type="lastRow">
      <w:rPr>
        <w:b/>
        <w:bCs/>
        <w:color w:val="000000"/>
      </w:rPr>
      <w:tblPr/>
      <w:tcPr>
        <w:shd w:val="clear" w:color="auto" w:fill="C4DEC4"/>
      </w:tcPr>
    </w:tblStylePr>
    <w:tblStylePr w:type="firstCol">
      <w:rPr>
        <w:color w:val="FFFFFF"/>
      </w:rPr>
      <w:tblPr/>
      <w:tcPr>
        <w:shd w:val="clear" w:color="auto" w:fill="4B864B"/>
      </w:tcPr>
    </w:tblStylePr>
    <w:tblStylePr w:type="lastCol">
      <w:rPr>
        <w:color w:val="FFFFFF"/>
      </w:rPr>
      <w:tblPr/>
      <w:tcPr>
        <w:shd w:val="clear" w:color="auto" w:fill="4B864B"/>
      </w:tcPr>
    </w:tblStylePr>
    <w:tblStylePr w:type="band1Vert">
      <w:tblPr/>
      <w:tcPr>
        <w:shd w:val="clear" w:color="auto" w:fill="B5D6B5"/>
      </w:tcPr>
    </w:tblStylePr>
    <w:tblStylePr w:type="band1Horz">
      <w:tblPr/>
      <w:tcPr>
        <w:shd w:val="clear" w:color="auto" w:fill="B5D6B5"/>
      </w:tcPr>
    </w:tblStylePr>
  </w:style>
  <w:style w:type="table" w:customStyle="1" w:styleId="ColorfulGrid-Accent62">
    <w:name w:val="Colorful Grid - Accent 62"/>
    <w:basedOn w:val="TableNormal"/>
    <w:next w:val="ColorfulGrid-Accent6"/>
    <w:uiPriority w:val="73"/>
    <w:semiHidden/>
    <w:unhideWhenUsed/>
    <w:rsid w:val="0057062A"/>
    <w:pPr>
      <w:spacing w:after="0" w:line="240" w:lineRule="auto"/>
    </w:pPr>
    <w:rPr>
      <w:color w:val="000000"/>
    </w:rPr>
    <w:tblPr>
      <w:tblStyleRowBandSize w:val="1"/>
      <w:tblStyleColBandSize w:val="1"/>
      <w:tblBorders>
        <w:insideH w:val="single" w:sz="4" w:space="0" w:color="FFFFFF"/>
      </w:tblBorders>
    </w:tblPr>
    <w:tcPr>
      <w:shd w:val="clear" w:color="auto" w:fill="F5CFD7"/>
    </w:tcPr>
    <w:tblStylePr w:type="firstRow">
      <w:rPr>
        <w:b/>
        <w:bCs/>
      </w:rPr>
      <w:tblPr/>
      <w:tcPr>
        <w:shd w:val="clear" w:color="auto" w:fill="ECA0AF"/>
      </w:tcPr>
    </w:tblStylePr>
    <w:tblStylePr w:type="lastRow">
      <w:rPr>
        <w:b/>
        <w:bCs/>
        <w:color w:val="000000"/>
      </w:rPr>
      <w:tblPr/>
      <w:tcPr>
        <w:shd w:val="clear" w:color="auto" w:fill="ECA0AF"/>
      </w:tcPr>
    </w:tblStylePr>
    <w:tblStylePr w:type="firstCol">
      <w:rPr>
        <w:color w:val="FFFFFF"/>
      </w:rPr>
      <w:tblPr/>
      <w:tcPr>
        <w:shd w:val="clear" w:color="auto" w:fill="8D1C32"/>
      </w:tcPr>
    </w:tblStylePr>
    <w:tblStylePr w:type="lastCol">
      <w:rPr>
        <w:color w:val="FFFFFF"/>
      </w:rPr>
      <w:tblPr/>
      <w:tcPr>
        <w:shd w:val="clear" w:color="auto" w:fill="8D1C32"/>
      </w:tcPr>
    </w:tblStylePr>
    <w:tblStylePr w:type="band1Vert">
      <w:tblPr/>
      <w:tcPr>
        <w:shd w:val="clear" w:color="auto" w:fill="E7899B"/>
      </w:tcPr>
    </w:tblStylePr>
    <w:tblStylePr w:type="band1Horz">
      <w:tblPr/>
      <w:tcPr>
        <w:shd w:val="clear" w:color="auto" w:fill="E7899B"/>
      </w:tcPr>
    </w:tblStylePr>
  </w:style>
  <w:style w:type="table" w:customStyle="1" w:styleId="ColorfulList2">
    <w:name w:val="Colorful List2"/>
    <w:basedOn w:val="TableNormal"/>
    <w:next w:val="ColorfulList"/>
    <w:uiPriority w:val="72"/>
    <w:semiHidden/>
    <w:unhideWhenUsed/>
    <w:rsid w:val="0057062A"/>
    <w:pPr>
      <w:spacing w:after="0" w:line="240" w:lineRule="auto"/>
    </w:pPr>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E9430F"/>
      </w:tcPr>
    </w:tblStylePr>
    <w:tblStylePr w:type="lastRow">
      <w:rPr>
        <w:b/>
        <w:bCs/>
        <w:color w:val="E9430F"/>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72"/>
    <w:semiHidden/>
    <w:unhideWhenUsed/>
    <w:rsid w:val="0057062A"/>
    <w:pPr>
      <w:spacing w:after="0" w:line="240" w:lineRule="auto"/>
    </w:pPr>
    <w:rPr>
      <w:color w:val="000000"/>
    </w:rPr>
    <w:tblPr>
      <w:tblStyleRowBandSize w:val="1"/>
      <w:tblStyleColBandSize w:val="1"/>
    </w:tblPr>
    <w:tcPr>
      <w:shd w:val="clear" w:color="auto" w:fill="DAFEFC"/>
    </w:tcPr>
    <w:tblStylePr w:type="firstRow">
      <w:rPr>
        <w:b/>
        <w:bCs/>
        <w:color w:val="FFFFFF"/>
      </w:rPr>
      <w:tblPr/>
      <w:tcPr>
        <w:tcBorders>
          <w:bottom w:val="single" w:sz="12" w:space="0" w:color="FFFFFF"/>
        </w:tcBorders>
        <w:shd w:val="clear" w:color="auto" w:fill="E9430F"/>
      </w:tcPr>
    </w:tblStylePr>
    <w:tblStylePr w:type="lastRow">
      <w:rPr>
        <w:b/>
        <w:bCs/>
        <w:color w:val="E9430F"/>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FDF8"/>
      </w:tcPr>
    </w:tblStylePr>
    <w:tblStylePr w:type="band1Horz">
      <w:tblPr/>
      <w:tcPr>
        <w:shd w:val="clear" w:color="auto" w:fill="B4FEF9"/>
      </w:tcPr>
    </w:tblStylePr>
  </w:style>
  <w:style w:type="table" w:customStyle="1" w:styleId="ColorfulList-Accent22">
    <w:name w:val="Colorful List - Accent 22"/>
    <w:basedOn w:val="TableNormal"/>
    <w:next w:val="ColorfulList-Accent2"/>
    <w:uiPriority w:val="72"/>
    <w:semiHidden/>
    <w:unhideWhenUsed/>
    <w:rsid w:val="0057062A"/>
    <w:pPr>
      <w:spacing w:after="0" w:line="240" w:lineRule="auto"/>
    </w:pPr>
    <w:rPr>
      <w:color w:val="000000"/>
    </w:rPr>
    <w:tblPr>
      <w:tblStyleRowBandSize w:val="1"/>
      <w:tblStyleColBandSize w:val="1"/>
    </w:tblPr>
    <w:tcPr>
      <w:shd w:val="clear" w:color="auto" w:fill="FDF0EC"/>
    </w:tcPr>
    <w:tblStylePr w:type="firstRow">
      <w:rPr>
        <w:b/>
        <w:bCs/>
        <w:color w:val="FFFFFF"/>
      </w:rPr>
      <w:tblPr/>
      <w:tcPr>
        <w:tcBorders>
          <w:bottom w:val="single" w:sz="12" w:space="0" w:color="FFFFFF"/>
        </w:tcBorders>
        <w:shd w:val="clear" w:color="auto" w:fill="E9430F"/>
      </w:tcPr>
    </w:tblStylePr>
    <w:tblStylePr w:type="lastRow">
      <w:rPr>
        <w:b/>
        <w:bCs/>
        <w:color w:val="E9430F"/>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D0"/>
      </w:tcPr>
    </w:tblStylePr>
    <w:tblStylePr w:type="band1Horz">
      <w:tblPr/>
      <w:tcPr>
        <w:shd w:val="clear" w:color="auto" w:fill="FCE1D9"/>
      </w:tcPr>
    </w:tblStylePr>
  </w:style>
  <w:style w:type="table" w:customStyle="1" w:styleId="ColorfulList-Accent32">
    <w:name w:val="Colorful List - Accent 32"/>
    <w:basedOn w:val="TableNormal"/>
    <w:next w:val="ColorfulList-Accent3"/>
    <w:uiPriority w:val="72"/>
    <w:semiHidden/>
    <w:unhideWhenUsed/>
    <w:rsid w:val="0057062A"/>
    <w:pPr>
      <w:spacing w:after="0" w:line="240" w:lineRule="auto"/>
    </w:pPr>
    <w:rPr>
      <w:color w:val="000000"/>
    </w:rPr>
    <w:tblPr>
      <w:tblStyleRowBandSize w:val="1"/>
      <w:tblStyleColBandSize w:val="1"/>
    </w:tblPr>
    <w:tcPr>
      <w:shd w:val="clear" w:color="auto" w:fill="EEF8F7"/>
    </w:tcPr>
    <w:tblStylePr w:type="firstRow">
      <w:rPr>
        <w:b/>
        <w:bCs/>
        <w:color w:val="FFFFFF"/>
      </w:rPr>
      <w:tblPr/>
      <w:tcPr>
        <w:tcBorders>
          <w:bottom w:val="single" w:sz="12" w:space="0" w:color="FFFFFF"/>
        </w:tcBorders>
        <w:shd w:val="clear" w:color="auto" w:fill="F0A002"/>
      </w:tcPr>
    </w:tblStylePr>
    <w:tblStylePr w:type="lastRow">
      <w:rPr>
        <w:b/>
        <w:bCs/>
        <w:color w:val="F0A00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EED"/>
      </w:tcPr>
    </w:tblStylePr>
    <w:tblStylePr w:type="band1Horz">
      <w:tblPr/>
      <w:tcPr>
        <w:shd w:val="clear" w:color="auto" w:fill="DDF1F0"/>
      </w:tcPr>
    </w:tblStylePr>
  </w:style>
  <w:style w:type="table" w:customStyle="1" w:styleId="ColorfulList-Accent42">
    <w:name w:val="Colorful List - Accent 42"/>
    <w:basedOn w:val="TableNormal"/>
    <w:next w:val="ColorfulList-Accent4"/>
    <w:uiPriority w:val="72"/>
    <w:semiHidden/>
    <w:unhideWhenUsed/>
    <w:rsid w:val="0057062A"/>
    <w:pPr>
      <w:spacing w:after="0" w:line="240" w:lineRule="auto"/>
    </w:pPr>
    <w:rPr>
      <w:color w:val="000000"/>
    </w:rPr>
    <w:tblPr>
      <w:tblStyleRowBandSize w:val="1"/>
      <w:tblStyleColBandSize w:val="1"/>
    </w:tblPr>
    <w:tcPr>
      <w:shd w:val="clear" w:color="auto" w:fill="FEF8EA"/>
    </w:tcPr>
    <w:tblStylePr w:type="firstRow">
      <w:rPr>
        <w:b/>
        <w:bCs/>
        <w:color w:val="FFFFFF"/>
      </w:rPr>
      <w:tblPr/>
      <w:tcPr>
        <w:tcBorders>
          <w:bottom w:val="single" w:sz="12" w:space="0" w:color="FFFFFF"/>
        </w:tcBorders>
        <w:shd w:val="clear" w:color="auto" w:fill="3F9F9A"/>
      </w:tcPr>
    </w:tblStylePr>
    <w:tblStylePr w:type="lastRow">
      <w:rPr>
        <w:b/>
        <w:bCs/>
        <w:color w:val="3F9F9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C"/>
      </w:tcPr>
    </w:tblStylePr>
    <w:tblStylePr w:type="band1Horz">
      <w:tblPr/>
      <w:tcPr>
        <w:shd w:val="clear" w:color="auto" w:fill="FEF0D6"/>
      </w:tcPr>
    </w:tblStylePr>
  </w:style>
  <w:style w:type="table" w:customStyle="1" w:styleId="ColorfulList-Accent52">
    <w:name w:val="Colorful List - Accent 52"/>
    <w:basedOn w:val="TableNormal"/>
    <w:next w:val="ColorfulList-Accent5"/>
    <w:uiPriority w:val="72"/>
    <w:semiHidden/>
    <w:unhideWhenUsed/>
    <w:rsid w:val="0057062A"/>
    <w:pPr>
      <w:spacing w:after="0" w:line="240" w:lineRule="auto"/>
    </w:pPr>
    <w:rPr>
      <w:color w:val="000000"/>
    </w:rPr>
    <w:tblPr>
      <w:tblStyleRowBandSize w:val="1"/>
      <w:tblStyleColBandSize w:val="1"/>
    </w:tblPr>
    <w:tcPr>
      <w:shd w:val="clear" w:color="auto" w:fill="F0F7F0"/>
    </w:tcPr>
    <w:tblStylePr w:type="firstRow">
      <w:rPr>
        <w:b/>
        <w:bCs/>
        <w:color w:val="FFFFFF"/>
      </w:rPr>
      <w:tblPr/>
      <w:tcPr>
        <w:tcBorders>
          <w:bottom w:val="single" w:sz="12" w:space="0" w:color="FFFFFF"/>
        </w:tcBorders>
        <w:shd w:val="clear" w:color="auto" w:fill="961E36"/>
      </w:tcPr>
    </w:tblStylePr>
    <w:tblStylePr w:type="lastRow">
      <w:rPr>
        <w:b/>
        <w:bCs/>
        <w:color w:val="961E3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EADA"/>
      </w:tcPr>
    </w:tblStylePr>
    <w:tblStylePr w:type="band1Horz">
      <w:tblPr/>
      <w:tcPr>
        <w:shd w:val="clear" w:color="auto" w:fill="E1EEE1"/>
      </w:tcPr>
    </w:tblStylePr>
  </w:style>
  <w:style w:type="table" w:customStyle="1" w:styleId="ColorfulList-Accent62">
    <w:name w:val="Colorful List - Accent 62"/>
    <w:basedOn w:val="TableNormal"/>
    <w:next w:val="ColorfulList-Accent6"/>
    <w:uiPriority w:val="72"/>
    <w:semiHidden/>
    <w:unhideWhenUsed/>
    <w:rsid w:val="0057062A"/>
    <w:pPr>
      <w:spacing w:after="0" w:line="240" w:lineRule="auto"/>
    </w:pPr>
    <w:rPr>
      <w:color w:val="000000"/>
    </w:rPr>
    <w:tblPr>
      <w:tblStyleRowBandSize w:val="1"/>
      <w:tblStyleColBandSize w:val="1"/>
    </w:tblPr>
    <w:tcPr>
      <w:shd w:val="clear" w:color="auto" w:fill="FAE7EB"/>
    </w:tcPr>
    <w:tblStylePr w:type="firstRow">
      <w:rPr>
        <w:b/>
        <w:bCs/>
        <w:color w:val="FFFFFF"/>
      </w:rPr>
      <w:tblPr/>
      <w:tcPr>
        <w:tcBorders>
          <w:bottom w:val="single" w:sz="12" w:space="0" w:color="FFFFFF"/>
        </w:tcBorders>
        <w:shd w:val="clear" w:color="auto" w:fill="509050"/>
      </w:tcPr>
    </w:tblStylePr>
    <w:tblStylePr w:type="lastRow">
      <w:rPr>
        <w:b/>
        <w:bCs/>
        <w:color w:val="50905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C4CD"/>
      </w:tcPr>
    </w:tblStylePr>
    <w:tblStylePr w:type="band1Horz">
      <w:tblPr/>
      <w:tcPr>
        <w:shd w:val="clear" w:color="auto" w:fill="F5CFD7"/>
      </w:tcPr>
    </w:tblStylePr>
  </w:style>
  <w:style w:type="table" w:customStyle="1" w:styleId="ColorfulShading2">
    <w:name w:val="Colorful Shading2"/>
    <w:basedOn w:val="TableNormal"/>
    <w:next w:val="ColorfulShading"/>
    <w:uiPriority w:val="71"/>
    <w:semiHidden/>
    <w:unhideWhenUsed/>
    <w:rsid w:val="0057062A"/>
    <w:pPr>
      <w:spacing w:after="0" w:line="240" w:lineRule="auto"/>
    </w:pPr>
    <w:rPr>
      <w:color w:val="000000"/>
    </w:rPr>
    <w:tblPr>
      <w:tblStyleRowBandSize w:val="1"/>
      <w:tblStyleColBandSize w:val="1"/>
      <w:tblBorders>
        <w:top w:val="single" w:sz="24" w:space="0" w:color="F36E44"/>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F36E4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71"/>
    <w:semiHidden/>
    <w:unhideWhenUsed/>
    <w:rsid w:val="0057062A"/>
    <w:pPr>
      <w:spacing w:after="0" w:line="240" w:lineRule="auto"/>
    </w:pPr>
    <w:rPr>
      <w:color w:val="000000"/>
    </w:rPr>
    <w:tblPr>
      <w:tblStyleRowBandSize w:val="1"/>
      <w:tblStyleColBandSize w:val="1"/>
      <w:tblBorders>
        <w:top w:val="single" w:sz="24" w:space="0" w:color="F36E44"/>
        <w:left w:val="single" w:sz="4" w:space="0" w:color="02847D"/>
        <w:bottom w:val="single" w:sz="4" w:space="0" w:color="02847D"/>
        <w:right w:val="single" w:sz="4" w:space="0" w:color="02847D"/>
        <w:insideH w:val="single" w:sz="4" w:space="0" w:color="FFFFFF"/>
        <w:insideV w:val="single" w:sz="4" w:space="0" w:color="FFFFFF"/>
      </w:tblBorders>
    </w:tblPr>
    <w:tcPr>
      <w:shd w:val="clear" w:color="auto" w:fill="DAFEFC"/>
    </w:tcPr>
    <w:tblStylePr w:type="firstRow">
      <w:rPr>
        <w:b/>
        <w:bCs/>
      </w:rPr>
      <w:tblPr/>
      <w:tcPr>
        <w:tcBorders>
          <w:top w:val="nil"/>
          <w:left w:val="nil"/>
          <w:bottom w:val="single" w:sz="24" w:space="0" w:color="F36E4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14F4A"/>
      </w:tcPr>
    </w:tblStylePr>
    <w:tblStylePr w:type="firstCol">
      <w:rPr>
        <w:color w:val="FFFFFF"/>
      </w:rPr>
      <w:tblPr/>
      <w:tcPr>
        <w:tcBorders>
          <w:top w:val="nil"/>
          <w:left w:val="nil"/>
          <w:bottom w:val="nil"/>
          <w:right w:val="nil"/>
          <w:insideH w:val="single" w:sz="4" w:space="0" w:color="014F4A"/>
          <w:insideV w:val="nil"/>
        </w:tcBorders>
        <w:shd w:val="clear" w:color="auto" w:fill="014F4A"/>
      </w:tcPr>
    </w:tblStylePr>
    <w:tblStylePr w:type="lastCol">
      <w:rPr>
        <w:color w:val="FFFFFF"/>
      </w:rPr>
      <w:tblPr/>
      <w:tcPr>
        <w:tcBorders>
          <w:top w:val="nil"/>
          <w:left w:val="nil"/>
          <w:bottom w:val="nil"/>
          <w:right w:val="nil"/>
          <w:insideH w:val="nil"/>
          <w:insideV w:val="nil"/>
        </w:tcBorders>
        <w:shd w:val="clear" w:color="auto" w:fill="014F4A"/>
      </w:tcPr>
    </w:tblStylePr>
    <w:tblStylePr w:type="band1Vert">
      <w:tblPr/>
      <w:tcPr>
        <w:shd w:val="clear" w:color="auto" w:fill="6AFCF4"/>
      </w:tcPr>
    </w:tblStylePr>
    <w:tblStylePr w:type="band1Horz">
      <w:tblPr/>
      <w:tcPr>
        <w:shd w:val="clear" w:color="auto" w:fill="46FCF2"/>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71"/>
    <w:semiHidden/>
    <w:unhideWhenUsed/>
    <w:rsid w:val="0057062A"/>
    <w:pPr>
      <w:spacing w:after="0" w:line="240" w:lineRule="auto"/>
    </w:pPr>
    <w:rPr>
      <w:color w:val="000000"/>
    </w:rPr>
    <w:tblPr>
      <w:tblStyleRowBandSize w:val="1"/>
      <w:tblStyleColBandSize w:val="1"/>
      <w:tblBorders>
        <w:top w:val="single" w:sz="24" w:space="0" w:color="F36E44"/>
        <w:left w:val="single" w:sz="4" w:space="0" w:color="F36E44"/>
        <w:bottom w:val="single" w:sz="4" w:space="0" w:color="F36E44"/>
        <w:right w:val="single" w:sz="4" w:space="0" w:color="F36E44"/>
        <w:insideH w:val="single" w:sz="4" w:space="0" w:color="FFFFFF"/>
        <w:insideV w:val="single" w:sz="4" w:space="0" w:color="FFFFFF"/>
      </w:tblBorders>
    </w:tblPr>
    <w:tcPr>
      <w:shd w:val="clear" w:color="auto" w:fill="FDF0EC"/>
    </w:tcPr>
    <w:tblStylePr w:type="firstRow">
      <w:rPr>
        <w:b/>
        <w:bCs/>
      </w:rPr>
      <w:tblPr/>
      <w:tcPr>
        <w:tcBorders>
          <w:top w:val="nil"/>
          <w:left w:val="nil"/>
          <w:bottom w:val="single" w:sz="24" w:space="0" w:color="F36E4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AF320B"/>
      </w:tcPr>
    </w:tblStylePr>
    <w:tblStylePr w:type="firstCol">
      <w:rPr>
        <w:color w:val="FFFFFF"/>
      </w:rPr>
      <w:tblPr/>
      <w:tcPr>
        <w:tcBorders>
          <w:top w:val="nil"/>
          <w:left w:val="nil"/>
          <w:bottom w:val="nil"/>
          <w:right w:val="nil"/>
          <w:insideH w:val="single" w:sz="4" w:space="0" w:color="AF320B"/>
          <w:insideV w:val="nil"/>
        </w:tcBorders>
        <w:shd w:val="clear" w:color="auto" w:fill="AF320B"/>
      </w:tcPr>
    </w:tblStylePr>
    <w:tblStylePr w:type="lastCol">
      <w:rPr>
        <w:color w:val="FFFFFF"/>
      </w:rPr>
      <w:tblPr/>
      <w:tcPr>
        <w:tcBorders>
          <w:top w:val="nil"/>
          <w:left w:val="nil"/>
          <w:bottom w:val="nil"/>
          <w:right w:val="nil"/>
          <w:insideH w:val="nil"/>
          <w:insideV w:val="nil"/>
        </w:tcBorders>
        <w:shd w:val="clear" w:color="auto" w:fill="AF320B"/>
      </w:tcPr>
    </w:tblStylePr>
    <w:tblStylePr w:type="band1Vert">
      <w:tblPr/>
      <w:tcPr>
        <w:shd w:val="clear" w:color="auto" w:fill="FAC4B4"/>
      </w:tcPr>
    </w:tblStylePr>
    <w:tblStylePr w:type="band1Horz">
      <w:tblPr/>
      <w:tcPr>
        <w:shd w:val="clear" w:color="auto" w:fill="F9B6A1"/>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71"/>
    <w:semiHidden/>
    <w:unhideWhenUsed/>
    <w:rsid w:val="0057062A"/>
    <w:pPr>
      <w:spacing w:after="0" w:line="240" w:lineRule="auto"/>
    </w:pPr>
    <w:rPr>
      <w:color w:val="000000"/>
    </w:rPr>
    <w:tblPr>
      <w:tblStyleRowBandSize w:val="1"/>
      <w:tblStyleColBandSize w:val="1"/>
      <w:tblBorders>
        <w:top w:val="single" w:sz="24" w:space="0" w:color="FDB933"/>
        <w:left w:val="single" w:sz="4" w:space="0" w:color="59BDB8"/>
        <w:bottom w:val="single" w:sz="4" w:space="0" w:color="59BDB8"/>
        <w:right w:val="single" w:sz="4" w:space="0" w:color="59BDB8"/>
        <w:insideH w:val="single" w:sz="4" w:space="0" w:color="FFFFFF"/>
        <w:insideV w:val="single" w:sz="4" w:space="0" w:color="FFFFFF"/>
      </w:tblBorders>
    </w:tblPr>
    <w:tcPr>
      <w:shd w:val="clear" w:color="auto" w:fill="EEF8F7"/>
    </w:tcPr>
    <w:tblStylePr w:type="firstRow">
      <w:rPr>
        <w:b/>
        <w:bCs/>
      </w:rPr>
      <w:tblPr/>
      <w:tcPr>
        <w:tcBorders>
          <w:top w:val="nil"/>
          <w:left w:val="nil"/>
          <w:bottom w:val="single" w:sz="24" w:space="0" w:color="FDB93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F7773"/>
      </w:tcPr>
    </w:tblStylePr>
    <w:tblStylePr w:type="firstCol">
      <w:rPr>
        <w:color w:val="FFFFFF"/>
      </w:rPr>
      <w:tblPr/>
      <w:tcPr>
        <w:tcBorders>
          <w:top w:val="nil"/>
          <w:left w:val="nil"/>
          <w:bottom w:val="nil"/>
          <w:right w:val="nil"/>
          <w:insideH w:val="single" w:sz="4" w:space="0" w:color="2F7773"/>
          <w:insideV w:val="nil"/>
        </w:tcBorders>
        <w:shd w:val="clear" w:color="auto" w:fill="2F7773"/>
      </w:tcPr>
    </w:tblStylePr>
    <w:tblStylePr w:type="lastCol">
      <w:rPr>
        <w:color w:val="FFFFFF"/>
      </w:rPr>
      <w:tblPr/>
      <w:tcPr>
        <w:tcBorders>
          <w:top w:val="nil"/>
          <w:left w:val="nil"/>
          <w:bottom w:val="nil"/>
          <w:right w:val="nil"/>
          <w:insideH w:val="nil"/>
          <w:insideV w:val="nil"/>
        </w:tcBorders>
        <w:shd w:val="clear" w:color="auto" w:fill="2F7773"/>
      </w:tcPr>
    </w:tblStylePr>
    <w:tblStylePr w:type="band1Vert">
      <w:tblPr/>
      <w:tcPr>
        <w:shd w:val="clear" w:color="auto" w:fill="BCE4E2"/>
      </w:tcPr>
    </w:tblStylePr>
    <w:tblStylePr w:type="band1Horz">
      <w:tblPr/>
      <w:tcPr>
        <w:shd w:val="clear" w:color="auto" w:fill="ACDEDB"/>
      </w:tcPr>
    </w:tblStylePr>
  </w:style>
  <w:style w:type="table" w:customStyle="1" w:styleId="ColorfulShading-Accent42">
    <w:name w:val="Colorful Shading - Accent 42"/>
    <w:basedOn w:val="TableNormal"/>
    <w:next w:val="ColorfulShading-Accent4"/>
    <w:uiPriority w:val="71"/>
    <w:semiHidden/>
    <w:unhideWhenUsed/>
    <w:rsid w:val="0057062A"/>
    <w:pPr>
      <w:spacing w:after="0" w:line="240" w:lineRule="auto"/>
    </w:pPr>
    <w:rPr>
      <w:color w:val="000000"/>
    </w:rPr>
    <w:tblPr>
      <w:tblStyleRowBandSize w:val="1"/>
      <w:tblStyleColBandSize w:val="1"/>
      <w:tblBorders>
        <w:top w:val="single" w:sz="24" w:space="0" w:color="59BDB8"/>
        <w:left w:val="single" w:sz="4" w:space="0" w:color="FDB933"/>
        <w:bottom w:val="single" w:sz="4" w:space="0" w:color="FDB933"/>
        <w:right w:val="single" w:sz="4" w:space="0" w:color="FDB933"/>
        <w:insideH w:val="single" w:sz="4" w:space="0" w:color="FFFFFF"/>
        <w:insideV w:val="single" w:sz="4" w:space="0" w:color="FFFFFF"/>
      </w:tblBorders>
    </w:tblPr>
    <w:tcPr>
      <w:shd w:val="clear" w:color="auto" w:fill="FEF8EA"/>
    </w:tcPr>
    <w:tblStylePr w:type="firstRow">
      <w:rPr>
        <w:b/>
        <w:bCs/>
      </w:rPr>
      <w:tblPr/>
      <w:tcPr>
        <w:tcBorders>
          <w:top w:val="nil"/>
          <w:left w:val="nil"/>
          <w:bottom w:val="single" w:sz="24" w:space="0" w:color="59BDB8"/>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47801"/>
      </w:tcPr>
    </w:tblStylePr>
    <w:tblStylePr w:type="firstCol">
      <w:rPr>
        <w:color w:val="FFFFFF"/>
      </w:rPr>
      <w:tblPr/>
      <w:tcPr>
        <w:tcBorders>
          <w:top w:val="nil"/>
          <w:left w:val="nil"/>
          <w:bottom w:val="nil"/>
          <w:right w:val="nil"/>
          <w:insideH w:val="single" w:sz="4" w:space="0" w:color="B47801"/>
          <w:insideV w:val="nil"/>
        </w:tcBorders>
        <w:shd w:val="clear" w:color="auto" w:fill="B47801"/>
      </w:tcPr>
    </w:tblStylePr>
    <w:tblStylePr w:type="lastCol">
      <w:rPr>
        <w:color w:val="FFFFFF"/>
      </w:rPr>
      <w:tblPr/>
      <w:tcPr>
        <w:tcBorders>
          <w:top w:val="nil"/>
          <w:left w:val="nil"/>
          <w:bottom w:val="nil"/>
          <w:right w:val="nil"/>
          <w:insideH w:val="nil"/>
          <w:insideV w:val="nil"/>
        </w:tcBorders>
        <w:shd w:val="clear" w:color="auto" w:fill="B47801"/>
      </w:tcPr>
    </w:tblStylePr>
    <w:tblStylePr w:type="band1Vert">
      <w:tblPr/>
      <w:tcPr>
        <w:shd w:val="clear" w:color="auto" w:fill="FEE2AD"/>
      </w:tcPr>
    </w:tblStylePr>
    <w:tblStylePr w:type="band1Horz">
      <w:tblPr/>
      <w:tcPr>
        <w:shd w:val="clear" w:color="auto" w:fill="FEDC99"/>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71"/>
    <w:semiHidden/>
    <w:unhideWhenUsed/>
    <w:rsid w:val="0057062A"/>
    <w:pPr>
      <w:spacing w:after="0" w:line="240" w:lineRule="auto"/>
    </w:pPr>
    <w:rPr>
      <w:color w:val="000000"/>
    </w:rPr>
    <w:tblPr>
      <w:tblStyleRowBandSize w:val="1"/>
      <w:tblStyleColBandSize w:val="1"/>
      <w:tblBorders>
        <w:top w:val="single" w:sz="24" w:space="0" w:color="BD2644"/>
        <w:left w:val="single" w:sz="4" w:space="0" w:color="6CAD6C"/>
        <w:bottom w:val="single" w:sz="4" w:space="0" w:color="6CAD6C"/>
        <w:right w:val="single" w:sz="4" w:space="0" w:color="6CAD6C"/>
        <w:insideH w:val="single" w:sz="4" w:space="0" w:color="FFFFFF"/>
        <w:insideV w:val="single" w:sz="4" w:space="0" w:color="FFFFFF"/>
      </w:tblBorders>
    </w:tblPr>
    <w:tcPr>
      <w:shd w:val="clear" w:color="auto" w:fill="F0F7F0"/>
    </w:tcPr>
    <w:tblStylePr w:type="firstRow">
      <w:rPr>
        <w:b/>
        <w:bCs/>
      </w:rPr>
      <w:tblPr/>
      <w:tcPr>
        <w:tcBorders>
          <w:top w:val="nil"/>
          <w:left w:val="nil"/>
          <w:bottom w:val="single" w:sz="24" w:space="0" w:color="BD264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3C6C3C"/>
      </w:tcPr>
    </w:tblStylePr>
    <w:tblStylePr w:type="firstCol">
      <w:rPr>
        <w:color w:val="FFFFFF"/>
      </w:rPr>
      <w:tblPr/>
      <w:tcPr>
        <w:tcBorders>
          <w:top w:val="nil"/>
          <w:left w:val="nil"/>
          <w:bottom w:val="nil"/>
          <w:right w:val="nil"/>
          <w:insideH w:val="single" w:sz="4" w:space="0" w:color="3C6C3C"/>
          <w:insideV w:val="nil"/>
        </w:tcBorders>
        <w:shd w:val="clear" w:color="auto" w:fill="3C6C3C"/>
      </w:tcPr>
    </w:tblStylePr>
    <w:tblStylePr w:type="lastCol">
      <w:rPr>
        <w:color w:val="FFFFFF"/>
      </w:rPr>
      <w:tblPr/>
      <w:tcPr>
        <w:tcBorders>
          <w:top w:val="nil"/>
          <w:left w:val="nil"/>
          <w:bottom w:val="nil"/>
          <w:right w:val="nil"/>
          <w:insideH w:val="nil"/>
          <w:insideV w:val="nil"/>
        </w:tcBorders>
        <w:shd w:val="clear" w:color="auto" w:fill="3C6C3C"/>
      </w:tcPr>
    </w:tblStylePr>
    <w:tblStylePr w:type="band1Vert">
      <w:tblPr/>
      <w:tcPr>
        <w:shd w:val="clear" w:color="auto" w:fill="C4DEC4"/>
      </w:tcPr>
    </w:tblStylePr>
    <w:tblStylePr w:type="band1Horz">
      <w:tblPr/>
      <w:tcPr>
        <w:shd w:val="clear" w:color="auto" w:fill="B5D6B5"/>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71"/>
    <w:semiHidden/>
    <w:unhideWhenUsed/>
    <w:rsid w:val="0057062A"/>
    <w:pPr>
      <w:spacing w:after="0" w:line="240" w:lineRule="auto"/>
    </w:pPr>
    <w:rPr>
      <w:color w:val="000000"/>
    </w:rPr>
    <w:tblPr>
      <w:tblStyleRowBandSize w:val="1"/>
      <w:tblStyleColBandSize w:val="1"/>
      <w:tblBorders>
        <w:top w:val="single" w:sz="24" w:space="0" w:color="6CAD6C"/>
        <w:left w:val="single" w:sz="4" w:space="0" w:color="BD2644"/>
        <w:bottom w:val="single" w:sz="4" w:space="0" w:color="BD2644"/>
        <w:right w:val="single" w:sz="4" w:space="0" w:color="BD2644"/>
        <w:insideH w:val="single" w:sz="4" w:space="0" w:color="FFFFFF"/>
        <w:insideV w:val="single" w:sz="4" w:space="0" w:color="FFFFFF"/>
      </w:tblBorders>
    </w:tblPr>
    <w:tcPr>
      <w:shd w:val="clear" w:color="auto" w:fill="FAE7EB"/>
    </w:tcPr>
    <w:tblStylePr w:type="firstRow">
      <w:rPr>
        <w:b/>
        <w:bCs/>
      </w:rPr>
      <w:tblPr/>
      <w:tcPr>
        <w:tcBorders>
          <w:top w:val="nil"/>
          <w:left w:val="nil"/>
          <w:bottom w:val="single" w:sz="24" w:space="0" w:color="6CAD6C"/>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11628"/>
      </w:tcPr>
    </w:tblStylePr>
    <w:tblStylePr w:type="firstCol">
      <w:rPr>
        <w:color w:val="FFFFFF"/>
      </w:rPr>
      <w:tblPr/>
      <w:tcPr>
        <w:tcBorders>
          <w:top w:val="nil"/>
          <w:left w:val="nil"/>
          <w:bottom w:val="nil"/>
          <w:right w:val="nil"/>
          <w:insideH w:val="single" w:sz="4" w:space="0" w:color="711628"/>
          <w:insideV w:val="nil"/>
        </w:tcBorders>
        <w:shd w:val="clear" w:color="auto" w:fill="711628"/>
      </w:tcPr>
    </w:tblStylePr>
    <w:tblStylePr w:type="lastCol">
      <w:rPr>
        <w:color w:val="FFFFFF"/>
      </w:rPr>
      <w:tblPr/>
      <w:tcPr>
        <w:tcBorders>
          <w:top w:val="nil"/>
          <w:left w:val="nil"/>
          <w:bottom w:val="nil"/>
          <w:right w:val="nil"/>
          <w:insideH w:val="nil"/>
          <w:insideV w:val="nil"/>
        </w:tcBorders>
        <w:shd w:val="clear" w:color="auto" w:fill="711628"/>
      </w:tcPr>
    </w:tblStylePr>
    <w:tblStylePr w:type="band1Vert">
      <w:tblPr/>
      <w:tcPr>
        <w:shd w:val="clear" w:color="auto" w:fill="ECA0AF"/>
      </w:tcPr>
    </w:tblStylePr>
    <w:tblStylePr w:type="band1Horz">
      <w:tblPr/>
      <w:tcPr>
        <w:shd w:val="clear" w:color="auto" w:fill="E7899B"/>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70"/>
    <w:semiHidden/>
    <w:unhideWhenUsed/>
    <w:rsid w:val="0057062A"/>
    <w:pPr>
      <w:spacing w:after="0" w:line="240" w:lineRule="auto"/>
    </w:pPr>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70"/>
    <w:semiHidden/>
    <w:unhideWhenUsed/>
    <w:rsid w:val="0057062A"/>
    <w:pPr>
      <w:spacing w:after="0" w:line="240" w:lineRule="auto"/>
    </w:pPr>
    <w:rPr>
      <w:color w:val="FFFFFF"/>
    </w:rPr>
    <w:tblPr>
      <w:tblStyleRowBandSize w:val="1"/>
      <w:tblStyleColBandSize w:val="1"/>
    </w:tblPr>
    <w:tcPr>
      <w:shd w:val="clear" w:color="auto" w:fill="02847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1413D"/>
      </w:tcPr>
    </w:tblStylePr>
    <w:tblStylePr w:type="firstCol">
      <w:tblPr/>
      <w:tcPr>
        <w:tcBorders>
          <w:top w:val="nil"/>
          <w:left w:val="nil"/>
          <w:bottom w:val="nil"/>
          <w:right w:val="single" w:sz="18" w:space="0" w:color="FFFFFF"/>
          <w:insideH w:val="nil"/>
          <w:insideV w:val="nil"/>
        </w:tcBorders>
        <w:shd w:val="clear" w:color="auto" w:fill="01625D"/>
      </w:tcPr>
    </w:tblStylePr>
    <w:tblStylePr w:type="lastCol">
      <w:tblPr/>
      <w:tcPr>
        <w:tcBorders>
          <w:top w:val="nil"/>
          <w:left w:val="single" w:sz="18" w:space="0" w:color="FFFFFF"/>
          <w:bottom w:val="nil"/>
          <w:right w:val="nil"/>
          <w:insideH w:val="nil"/>
          <w:insideV w:val="nil"/>
        </w:tcBorders>
        <w:shd w:val="clear" w:color="auto" w:fill="01625D"/>
      </w:tcPr>
    </w:tblStylePr>
    <w:tblStylePr w:type="band1Vert">
      <w:tblPr/>
      <w:tcPr>
        <w:tcBorders>
          <w:top w:val="nil"/>
          <w:left w:val="nil"/>
          <w:bottom w:val="nil"/>
          <w:right w:val="nil"/>
          <w:insideH w:val="nil"/>
          <w:insideV w:val="nil"/>
        </w:tcBorders>
        <w:shd w:val="clear" w:color="auto" w:fill="01625D"/>
      </w:tcPr>
    </w:tblStylePr>
    <w:tblStylePr w:type="band1Horz">
      <w:tblPr/>
      <w:tcPr>
        <w:tcBorders>
          <w:top w:val="nil"/>
          <w:left w:val="nil"/>
          <w:bottom w:val="nil"/>
          <w:right w:val="nil"/>
          <w:insideH w:val="nil"/>
          <w:insideV w:val="nil"/>
        </w:tcBorders>
        <w:shd w:val="clear" w:color="auto" w:fill="01625D"/>
      </w:tcPr>
    </w:tblStylePr>
  </w:style>
  <w:style w:type="table" w:customStyle="1" w:styleId="DarkList-Accent22">
    <w:name w:val="Dark List - Accent 22"/>
    <w:basedOn w:val="TableNormal"/>
    <w:next w:val="DarkList-Accent2"/>
    <w:uiPriority w:val="70"/>
    <w:semiHidden/>
    <w:unhideWhenUsed/>
    <w:rsid w:val="0057062A"/>
    <w:pPr>
      <w:spacing w:after="0" w:line="240" w:lineRule="auto"/>
    </w:pPr>
    <w:rPr>
      <w:color w:val="FFFFFF"/>
    </w:rPr>
    <w:tblPr>
      <w:tblStyleRowBandSize w:val="1"/>
      <w:tblStyleColBandSize w:val="1"/>
    </w:tblPr>
    <w:tcPr>
      <w:shd w:val="clear" w:color="auto" w:fill="F36E4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12909"/>
      </w:tcPr>
    </w:tblStylePr>
    <w:tblStylePr w:type="firstCol">
      <w:tblPr/>
      <w:tcPr>
        <w:tcBorders>
          <w:top w:val="nil"/>
          <w:left w:val="nil"/>
          <w:bottom w:val="nil"/>
          <w:right w:val="single" w:sz="18" w:space="0" w:color="FFFFFF"/>
          <w:insideH w:val="nil"/>
          <w:insideV w:val="nil"/>
        </w:tcBorders>
        <w:shd w:val="clear" w:color="auto" w:fill="DA3F0E"/>
      </w:tcPr>
    </w:tblStylePr>
    <w:tblStylePr w:type="lastCol">
      <w:tblPr/>
      <w:tcPr>
        <w:tcBorders>
          <w:top w:val="nil"/>
          <w:left w:val="single" w:sz="18" w:space="0" w:color="FFFFFF"/>
          <w:bottom w:val="nil"/>
          <w:right w:val="nil"/>
          <w:insideH w:val="nil"/>
          <w:insideV w:val="nil"/>
        </w:tcBorders>
        <w:shd w:val="clear" w:color="auto" w:fill="DA3F0E"/>
      </w:tcPr>
    </w:tblStylePr>
    <w:tblStylePr w:type="band1Vert">
      <w:tblPr/>
      <w:tcPr>
        <w:tcBorders>
          <w:top w:val="nil"/>
          <w:left w:val="nil"/>
          <w:bottom w:val="nil"/>
          <w:right w:val="nil"/>
          <w:insideH w:val="nil"/>
          <w:insideV w:val="nil"/>
        </w:tcBorders>
        <w:shd w:val="clear" w:color="auto" w:fill="DA3F0E"/>
      </w:tcPr>
    </w:tblStylePr>
    <w:tblStylePr w:type="band1Horz">
      <w:tblPr/>
      <w:tcPr>
        <w:tcBorders>
          <w:top w:val="nil"/>
          <w:left w:val="nil"/>
          <w:bottom w:val="nil"/>
          <w:right w:val="nil"/>
          <w:insideH w:val="nil"/>
          <w:insideV w:val="nil"/>
        </w:tcBorders>
        <w:shd w:val="clear" w:color="auto" w:fill="DA3F0E"/>
      </w:tcPr>
    </w:tblStylePr>
  </w:style>
  <w:style w:type="table" w:customStyle="1" w:styleId="DarkList-Accent32">
    <w:name w:val="Dark List - Accent 32"/>
    <w:basedOn w:val="TableNormal"/>
    <w:next w:val="DarkList-Accent3"/>
    <w:uiPriority w:val="70"/>
    <w:semiHidden/>
    <w:unhideWhenUsed/>
    <w:rsid w:val="0057062A"/>
    <w:pPr>
      <w:spacing w:after="0" w:line="240" w:lineRule="auto"/>
    </w:pPr>
    <w:rPr>
      <w:color w:val="FFFFFF"/>
    </w:rPr>
    <w:tblPr>
      <w:tblStyleRowBandSize w:val="1"/>
      <w:tblStyleColBandSize w:val="1"/>
    </w:tblPr>
    <w:tcPr>
      <w:shd w:val="clear" w:color="auto" w:fill="59BDB8"/>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7625F"/>
      </w:tcPr>
    </w:tblStylePr>
    <w:tblStylePr w:type="firstCol">
      <w:tblPr/>
      <w:tcPr>
        <w:tcBorders>
          <w:top w:val="nil"/>
          <w:left w:val="nil"/>
          <w:bottom w:val="nil"/>
          <w:right w:val="single" w:sz="18" w:space="0" w:color="FFFFFF"/>
          <w:insideH w:val="nil"/>
          <w:insideV w:val="nil"/>
        </w:tcBorders>
        <w:shd w:val="clear" w:color="auto" w:fill="3B9490"/>
      </w:tcPr>
    </w:tblStylePr>
    <w:tblStylePr w:type="lastCol">
      <w:tblPr/>
      <w:tcPr>
        <w:tcBorders>
          <w:top w:val="nil"/>
          <w:left w:val="single" w:sz="18" w:space="0" w:color="FFFFFF"/>
          <w:bottom w:val="nil"/>
          <w:right w:val="nil"/>
          <w:insideH w:val="nil"/>
          <w:insideV w:val="nil"/>
        </w:tcBorders>
        <w:shd w:val="clear" w:color="auto" w:fill="3B9490"/>
      </w:tcPr>
    </w:tblStylePr>
    <w:tblStylePr w:type="band1Vert">
      <w:tblPr/>
      <w:tcPr>
        <w:tcBorders>
          <w:top w:val="nil"/>
          <w:left w:val="nil"/>
          <w:bottom w:val="nil"/>
          <w:right w:val="nil"/>
          <w:insideH w:val="nil"/>
          <w:insideV w:val="nil"/>
        </w:tcBorders>
        <w:shd w:val="clear" w:color="auto" w:fill="3B9490"/>
      </w:tcPr>
    </w:tblStylePr>
    <w:tblStylePr w:type="band1Horz">
      <w:tblPr/>
      <w:tcPr>
        <w:tcBorders>
          <w:top w:val="nil"/>
          <w:left w:val="nil"/>
          <w:bottom w:val="nil"/>
          <w:right w:val="nil"/>
          <w:insideH w:val="nil"/>
          <w:insideV w:val="nil"/>
        </w:tcBorders>
        <w:shd w:val="clear" w:color="auto" w:fill="3B9490"/>
      </w:tcPr>
    </w:tblStylePr>
  </w:style>
  <w:style w:type="table" w:customStyle="1" w:styleId="DarkList-Accent42">
    <w:name w:val="Dark List - Accent 42"/>
    <w:basedOn w:val="TableNormal"/>
    <w:next w:val="DarkList-Accent4"/>
    <w:uiPriority w:val="70"/>
    <w:semiHidden/>
    <w:unhideWhenUsed/>
    <w:rsid w:val="0057062A"/>
    <w:pPr>
      <w:spacing w:after="0" w:line="240" w:lineRule="auto"/>
    </w:pPr>
    <w:rPr>
      <w:color w:val="FFFFFF"/>
    </w:rPr>
    <w:tblPr>
      <w:tblStyleRowBandSize w:val="1"/>
      <w:tblStyleColBandSize w:val="1"/>
    </w:tblPr>
    <w:tcPr>
      <w:shd w:val="clear" w:color="auto" w:fill="FDB93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56301"/>
      </w:tcPr>
    </w:tblStylePr>
    <w:tblStylePr w:type="firstCol">
      <w:tblPr/>
      <w:tcPr>
        <w:tcBorders>
          <w:top w:val="nil"/>
          <w:left w:val="nil"/>
          <w:bottom w:val="nil"/>
          <w:right w:val="single" w:sz="18" w:space="0" w:color="FFFFFF"/>
          <w:insideH w:val="nil"/>
          <w:insideV w:val="nil"/>
        </w:tcBorders>
        <w:shd w:val="clear" w:color="auto" w:fill="E19602"/>
      </w:tcPr>
    </w:tblStylePr>
    <w:tblStylePr w:type="lastCol">
      <w:tblPr/>
      <w:tcPr>
        <w:tcBorders>
          <w:top w:val="nil"/>
          <w:left w:val="single" w:sz="18" w:space="0" w:color="FFFFFF"/>
          <w:bottom w:val="nil"/>
          <w:right w:val="nil"/>
          <w:insideH w:val="nil"/>
          <w:insideV w:val="nil"/>
        </w:tcBorders>
        <w:shd w:val="clear" w:color="auto" w:fill="E19602"/>
      </w:tcPr>
    </w:tblStylePr>
    <w:tblStylePr w:type="band1Vert">
      <w:tblPr/>
      <w:tcPr>
        <w:tcBorders>
          <w:top w:val="nil"/>
          <w:left w:val="nil"/>
          <w:bottom w:val="nil"/>
          <w:right w:val="nil"/>
          <w:insideH w:val="nil"/>
          <w:insideV w:val="nil"/>
        </w:tcBorders>
        <w:shd w:val="clear" w:color="auto" w:fill="E19602"/>
      </w:tcPr>
    </w:tblStylePr>
    <w:tblStylePr w:type="band1Horz">
      <w:tblPr/>
      <w:tcPr>
        <w:tcBorders>
          <w:top w:val="nil"/>
          <w:left w:val="nil"/>
          <w:bottom w:val="nil"/>
          <w:right w:val="nil"/>
          <w:insideH w:val="nil"/>
          <w:insideV w:val="nil"/>
        </w:tcBorders>
        <w:shd w:val="clear" w:color="auto" w:fill="E19602"/>
      </w:tcPr>
    </w:tblStylePr>
  </w:style>
  <w:style w:type="table" w:customStyle="1" w:styleId="DarkList-Accent52">
    <w:name w:val="Dark List - Accent 52"/>
    <w:basedOn w:val="TableNormal"/>
    <w:next w:val="DarkList-Accent5"/>
    <w:uiPriority w:val="70"/>
    <w:semiHidden/>
    <w:unhideWhenUsed/>
    <w:rsid w:val="0057062A"/>
    <w:pPr>
      <w:spacing w:after="0" w:line="240" w:lineRule="auto"/>
    </w:pPr>
    <w:rPr>
      <w:color w:val="FFFFFF"/>
    </w:rPr>
    <w:tblPr>
      <w:tblStyleRowBandSize w:val="1"/>
      <w:tblStyleColBandSize w:val="1"/>
    </w:tblPr>
    <w:tcPr>
      <w:shd w:val="clear" w:color="auto" w:fill="6CAD6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25932"/>
      </w:tcPr>
    </w:tblStylePr>
    <w:tblStylePr w:type="firstCol">
      <w:tblPr/>
      <w:tcPr>
        <w:tcBorders>
          <w:top w:val="nil"/>
          <w:left w:val="nil"/>
          <w:bottom w:val="nil"/>
          <w:right w:val="single" w:sz="18" w:space="0" w:color="FFFFFF"/>
          <w:insideH w:val="nil"/>
          <w:insideV w:val="nil"/>
        </w:tcBorders>
        <w:shd w:val="clear" w:color="auto" w:fill="4B864B"/>
      </w:tcPr>
    </w:tblStylePr>
    <w:tblStylePr w:type="lastCol">
      <w:tblPr/>
      <w:tcPr>
        <w:tcBorders>
          <w:top w:val="nil"/>
          <w:left w:val="single" w:sz="18" w:space="0" w:color="FFFFFF"/>
          <w:bottom w:val="nil"/>
          <w:right w:val="nil"/>
          <w:insideH w:val="nil"/>
          <w:insideV w:val="nil"/>
        </w:tcBorders>
        <w:shd w:val="clear" w:color="auto" w:fill="4B864B"/>
      </w:tcPr>
    </w:tblStylePr>
    <w:tblStylePr w:type="band1Vert">
      <w:tblPr/>
      <w:tcPr>
        <w:tcBorders>
          <w:top w:val="nil"/>
          <w:left w:val="nil"/>
          <w:bottom w:val="nil"/>
          <w:right w:val="nil"/>
          <w:insideH w:val="nil"/>
          <w:insideV w:val="nil"/>
        </w:tcBorders>
        <w:shd w:val="clear" w:color="auto" w:fill="4B864B"/>
      </w:tcPr>
    </w:tblStylePr>
    <w:tblStylePr w:type="band1Horz">
      <w:tblPr/>
      <w:tcPr>
        <w:tcBorders>
          <w:top w:val="nil"/>
          <w:left w:val="nil"/>
          <w:bottom w:val="nil"/>
          <w:right w:val="nil"/>
          <w:insideH w:val="nil"/>
          <w:insideV w:val="nil"/>
        </w:tcBorders>
        <w:shd w:val="clear" w:color="auto" w:fill="4B864B"/>
      </w:tcPr>
    </w:tblStylePr>
  </w:style>
  <w:style w:type="table" w:customStyle="1" w:styleId="DarkList-Accent62">
    <w:name w:val="Dark List - Accent 62"/>
    <w:basedOn w:val="TableNormal"/>
    <w:next w:val="DarkList-Accent6"/>
    <w:uiPriority w:val="70"/>
    <w:semiHidden/>
    <w:unhideWhenUsed/>
    <w:rsid w:val="0057062A"/>
    <w:pPr>
      <w:spacing w:after="0" w:line="240" w:lineRule="auto"/>
    </w:pPr>
    <w:rPr>
      <w:color w:val="FFFFFF"/>
    </w:rPr>
    <w:tblPr>
      <w:tblStyleRowBandSize w:val="1"/>
      <w:tblStyleColBandSize w:val="1"/>
    </w:tblPr>
    <w:tcPr>
      <w:shd w:val="clear" w:color="auto" w:fill="BD264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E1321"/>
      </w:tcPr>
    </w:tblStylePr>
    <w:tblStylePr w:type="firstCol">
      <w:tblPr/>
      <w:tcPr>
        <w:tcBorders>
          <w:top w:val="nil"/>
          <w:left w:val="nil"/>
          <w:bottom w:val="nil"/>
          <w:right w:val="single" w:sz="18" w:space="0" w:color="FFFFFF"/>
          <w:insideH w:val="nil"/>
          <w:insideV w:val="nil"/>
        </w:tcBorders>
        <w:shd w:val="clear" w:color="auto" w:fill="8D1C32"/>
      </w:tcPr>
    </w:tblStylePr>
    <w:tblStylePr w:type="lastCol">
      <w:tblPr/>
      <w:tcPr>
        <w:tcBorders>
          <w:top w:val="nil"/>
          <w:left w:val="single" w:sz="18" w:space="0" w:color="FFFFFF"/>
          <w:bottom w:val="nil"/>
          <w:right w:val="nil"/>
          <w:insideH w:val="nil"/>
          <w:insideV w:val="nil"/>
        </w:tcBorders>
        <w:shd w:val="clear" w:color="auto" w:fill="8D1C32"/>
      </w:tcPr>
    </w:tblStylePr>
    <w:tblStylePr w:type="band1Vert">
      <w:tblPr/>
      <w:tcPr>
        <w:tcBorders>
          <w:top w:val="nil"/>
          <w:left w:val="nil"/>
          <w:bottom w:val="nil"/>
          <w:right w:val="nil"/>
          <w:insideH w:val="nil"/>
          <w:insideV w:val="nil"/>
        </w:tcBorders>
        <w:shd w:val="clear" w:color="auto" w:fill="8D1C32"/>
      </w:tcPr>
    </w:tblStylePr>
    <w:tblStylePr w:type="band1Horz">
      <w:tblPr/>
      <w:tcPr>
        <w:tcBorders>
          <w:top w:val="nil"/>
          <w:left w:val="nil"/>
          <w:bottom w:val="nil"/>
          <w:right w:val="nil"/>
          <w:insideH w:val="nil"/>
          <w:insideV w:val="nil"/>
        </w:tcBorders>
        <w:shd w:val="clear" w:color="auto" w:fill="8D1C32"/>
      </w:tcPr>
    </w:tblStylePr>
  </w:style>
  <w:style w:type="table" w:customStyle="1" w:styleId="GridTable1Light2">
    <w:name w:val="Grid Table 1 Light2"/>
    <w:basedOn w:val="TableNormal"/>
    <w:next w:val="GridTable1Light"/>
    <w:uiPriority w:val="46"/>
    <w:rsid w:val="0057062A"/>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2">
    <w:name w:val="Grid Table 1 Light - Accent 12"/>
    <w:basedOn w:val="TableNormal"/>
    <w:next w:val="GridTable1Light-Accent1"/>
    <w:uiPriority w:val="46"/>
    <w:rsid w:val="0057062A"/>
    <w:pPr>
      <w:spacing w:after="0" w:line="240" w:lineRule="auto"/>
    </w:pPr>
    <w:tblPr>
      <w:tblStyleRowBandSize w:val="1"/>
      <w:tblStyleColBandSize w:val="1"/>
      <w:tblBorders>
        <w:top w:val="single" w:sz="4" w:space="0" w:color="6AFCF4"/>
        <w:left w:val="single" w:sz="4" w:space="0" w:color="6AFCF4"/>
        <w:bottom w:val="single" w:sz="4" w:space="0" w:color="6AFCF4"/>
        <w:right w:val="single" w:sz="4" w:space="0" w:color="6AFCF4"/>
        <w:insideH w:val="single" w:sz="4" w:space="0" w:color="6AFCF4"/>
        <w:insideV w:val="single" w:sz="4" w:space="0" w:color="6AFCF4"/>
      </w:tblBorders>
    </w:tblPr>
    <w:tblStylePr w:type="firstRow">
      <w:rPr>
        <w:b/>
        <w:bCs/>
      </w:rPr>
      <w:tblPr/>
      <w:tcPr>
        <w:tcBorders>
          <w:bottom w:val="single" w:sz="12" w:space="0" w:color="20FBEF"/>
        </w:tcBorders>
      </w:tcPr>
    </w:tblStylePr>
    <w:tblStylePr w:type="lastRow">
      <w:rPr>
        <w:b/>
        <w:bCs/>
      </w:rPr>
      <w:tblPr/>
      <w:tcPr>
        <w:tcBorders>
          <w:top w:val="double" w:sz="2" w:space="0" w:color="20FBEF"/>
        </w:tcBorders>
      </w:tcPr>
    </w:tblStylePr>
    <w:tblStylePr w:type="firstCol">
      <w:rPr>
        <w:b/>
        <w:bCs/>
      </w:rPr>
    </w:tblStylePr>
    <w:tblStylePr w:type="lastCol">
      <w:rPr>
        <w:b/>
        <w:bCs/>
      </w:rPr>
    </w:tblStylePr>
  </w:style>
  <w:style w:type="table" w:customStyle="1" w:styleId="GridTable1Light-Accent22">
    <w:name w:val="Grid Table 1 Light - Accent 22"/>
    <w:basedOn w:val="TableNormal"/>
    <w:next w:val="GridTable1Light-Accent2"/>
    <w:uiPriority w:val="46"/>
    <w:rsid w:val="0057062A"/>
    <w:pPr>
      <w:spacing w:after="0" w:line="240" w:lineRule="auto"/>
    </w:pPr>
    <w:tblPr>
      <w:tblStyleRowBandSize w:val="1"/>
      <w:tblStyleColBandSize w:val="1"/>
      <w:tblBorders>
        <w:top w:val="single" w:sz="4" w:space="0" w:color="FAC4B4"/>
        <w:left w:val="single" w:sz="4" w:space="0" w:color="FAC4B4"/>
        <w:bottom w:val="single" w:sz="4" w:space="0" w:color="FAC4B4"/>
        <w:right w:val="single" w:sz="4" w:space="0" w:color="FAC4B4"/>
        <w:insideH w:val="single" w:sz="4" w:space="0" w:color="FAC4B4"/>
        <w:insideV w:val="single" w:sz="4" w:space="0" w:color="FAC4B4"/>
      </w:tblBorders>
    </w:tblPr>
    <w:tblStylePr w:type="firstRow">
      <w:rPr>
        <w:b/>
        <w:bCs/>
      </w:rPr>
      <w:tblPr/>
      <w:tcPr>
        <w:tcBorders>
          <w:bottom w:val="single" w:sz="12" w:space="0" w:color="F7A78E"/>
        </w:tcBorders>
      </w:tcPr>
    </w:tblStylePr>
    <w:tblStylePr w:type="lastRow">
      <w:rPr>
        <w:b/>
        <w:bCs/>
      </w:rPr>
      <w:tblPr/>
      <w:tcPr>
        <w:tcBorders>
          <w:top w:val="double" w:sz="2" w:space="0" w:color="F7A78E"/>
        </w:tcBorders>
      </w:tcPr>
    </w:tblStylePr>
    <w:tblStylePr w:type="firstCol">
      <w:rPr>
        <w:b/>
        <w:bCs/>
      </w:rPr>
    </w:tblStylePr>
    <w:tblStylePr w:type="lastCol">
      <w:rPr>
        <w:b/>
        <w:bCs/>
      </w:rPr>
    </w:tblStylePr>
  </w:style>
  <w:style w:type="table" w:customStyle="1" w:styleId="GridTable1Light-Accent32">
    <w:name w:val="Grid Table 1 Light - Accent 32"/>
    <w:basedOn w:val="TableNormal"/>
    <w:next w:val="GridTable1Light-Accent3"/>
    <w:uiPriority w:val="46"/>
    <w:rsid w:val="0057062A"/>
    <w:pPr>
      <w:spacing w:after="0" w:line="240" w:lineRule="auto"/>
    </w:pPr>
    <w:tblPr>
      <w:tblStyleRowBandSize w:val="1"/>
      <w:tblStyleColBandSize w:val="1"/>
      <w:tblBorders>
        <w:top w:val="single" w:sz="4" w:space="0" w:color="BCE4E2"/>
        <w:left w:val="single" w:sz="4" w:space="0" w:color="BCE4E2"/>
        <w:bottom w:val="single" w:sz="4" w:space="0" w:color="BCE4E2"/>
        <w:right w:val="single" w:sz="4" w:space="0" w:color="BCE4E2"/>
        <w:insideH w:val="single" w:sz="4" w:space="0" w:color="BCE4E2"/>
        <w:insideV w:val="single" w:sz="4" w:space="0" w:color="BCE4E2"/>
      </w:tblBorders>
    </w:tblPr>
    <w:tblStylePr w:type="firstRow">
      <w:rPr>
        <w:b/>
        <w:bCs/>
      </w:rPr>
      <w:tblPr/>
      <w:tcPr>
        <w:tcBorders>
          <w:bottom w:val="single" w:sz="12" w:space="0" w:color="9BD7D4"/>
        </w:tcBorders>
      </w:tcPr>
    </w:tblStylePr>
    <w:tblStylePr w:type="lastRow">
      <w:rPr>
        <w:b/>
        <w:bCs/>
      </w:rPr>
      <w:tblPr/>
      <w:tcPr>
        <w:tcBorders>
          <w:top w:val="double" w:sz="2" w:space="0" w:color="9BD7D4"/>
        </w:tcBorders>
      </w:tcPr>
    </w:tblStylePr>
    <w:tblStylePr w:type="firstCol">
      <w:rPr>
        <w:b/>
        <w:bCs/>
      </w:rPr>
    </w:tblStylePr>
    <w:tblStylePr w:type="lastCol">
      <w:rPr>
        <w:b/>
        <w:bCs/>
      </w:rPr>
    </w:tblStylePr>
  </w:style>
  <w:style w:type="table" w:customStyle="1" w:styleId="GridTable1Light-Accent42">
    <w:name w:val="Grid Table 1 Light - Accent 42"/>
    <w:basedOn w:val="TableNormal"/>
    <w:next w:val="GridTable1Light-Accent4"/>
    <w:uiPriority w:val="46"/>
    <w:rsid w:val="0057062A"/>
    <w:pPr>
      <w:spacing w:after="0" w:line="240" w:lineRule="auto"/>
    </w:pPr>
    <w:tblPr>
      <w:tblStyleRowBandSize w:val="1"/>
      <w:tblStyleColBandSize w:val="1"/>
      <w:tblBorders>
        <w:top w:val="single" w:sz="4" w:space="0" w:color="FEE2AD"/>
        <w:left w:val="single" w:sz="4" w:space="0" w:color="FEE2AD"/>
        <w:bottom w:val="single" w:sz="4" w:space="0" w:color="FEE2AD"/>
        <w:right w:val="single" w:sz="4" w:space="0" w:color="FEE2AD"/>
        <w:insideH w:val="single" w:sz="4" w:space="0" w:color="FEE2AD"/>
        <w:insideV w:val="single" w:sz="4" w:space="0" w:color="FEE2AD"/>
      </w:tblBorders>
    </w:tblPr>
    <w:tblStylePr w:type="firstRow">
      <w:rPr>
        <w:b/>
        <w:bCs/>
      </w:rPr>
      <w:tblPr/>
      <w:tcPr>
        <w:tcBorders>
          <w:bottom w:val="single" w:sz="12" w:space="0" w:color="FDD484"/>
        </w:tcBorders>
      </w:tcPr>
    </w:tblStylePr>
    <w:tblStylePr w:type="lastRow">
      <w:rPr>
        <w:b/>
        <w:bCs/>
      </w:rPr>
      <w:tblPr/>
      <w:tcPr>
        <w:tcBorders>
          <w:top w:val="double" w:sz="2" w:space="0" w:color="FDD484"/>
        </w:tcBorders>
      </w:tcPr>
    </w:tblStylePr>
    <w:tblStylePr w:type="firstCol">
      <w:rPr>
        <w:b/>
        <w:bCs/>
      </w:rPr>
    </w:tblStylePr>
    <w:tblStylePr w:type="lastCol">
      <w:rPr>
        <w:b/>
        <w:bCs/>
      </w:rPr>
    </w:tblStylePr>
  </w:style>
  <w:style w:type="table" w:customStyle="1" w:styleId="GridTable1Light-Accent52">
    <w:name w:val="Grid Table 1 Light - Accent 52"/>
    <w:basedOn w:val="TableNormal"/>
    <w:next w:val="GridTable1Light-Accent5"/>
    <w:uiPriority w:val="46"/>
    <w:rsid w:val="0057062A"/>
    <w:pPr>
      <w:spacing w:after="0" w:line="240" w:lineRule="auto"/>
    </w:pPr>
    <w:tblPr>
      <w:tblStyleRowBandSize w:val="1"/>
      <w:tblStyleColBandSize w:val="1"/>
      <w:tblBorders>
        <w:top w:val="single" w:sz="4" w:space="0" w:color="C4DEC4"/>
        <w:left w:val="single" w:sz="4" w:space="0" w:color="C4DEC4"/>
        <w:bottom w:val="single" w:sz="4" w:space="0" w:color="C4DEC4"/>
        <w:right w:val="single" w:sz="4" w:space="0" w:color="C4DEC4"/>
        <w:insideH w:val="single" w:sz="4" w:space="0" w:color="C4DEC4"/>
        <w:insideV w:val="single" w:sz="4" w:space="0" w:color="C4DEC4"/>
      </w:tblBorders>
    </w:tblPr>
    <w:tblStylePr w:type="firstRow">
      <w:rPr>
        <w:b/>
        <w:bCs/>
      </w:rPr>
      <w:tblPr/>
      <w:tcPr>
        <w:tcBorders>
          <w:bottom w:val="single" w:sz="12" w:space="0" w:color="A6CDA6"/>
        </w:tcBorders>
      </w:tcPr>
    </w:tblStylePr>
    <w:tblStylePr w:type="lastRow">
      <w:rPr>
        <w:b/>
        <w:bCs/>
      </w:rPr>
      <w:tblPr/>
      <w:tcPr>
        <w:tcBorders>
          <w:top w:val="double" w:sz="2" w:space="0" w:color="A6CDA6"/>
        </w:tcBorders>
      </w:tcPr>
    </w:tblStylePr>
    <w:tblStylePr w:type="firstCol">
      <w:rPr>
        <w:b/>
        <w:bCs/>
      </w:rPr>
    </w:tblStylePr>
    <w:tblStylePr w:type="lastCol">
      <w:rPr>
        <w:b/>
        <w:bCs/>
      </w:rPr>
    </w:tblStylePr>
  </w:style>
  <w:style w:type="table" w:customStyle="1" w:styleId="GridTable1Light-Accent62">
    <w:name w:val="Grid Table 1 Light - Accent 62"/>
    <w:basedOn w:val="TableNormal"/>
    <w:next w:val="GridTable1Light-Accent6"/>
    <w:uiPriority w:val="46"/>
    <w:rsid w:val="0057062A"/>
    <w:pPr>
      <w:spacing w:after="0" w:line="240" w:lineRule="auto"/>
    </w:pPr>
    <w:tblPr>
      <w:tblStyleRowBandSize w:val="1"/>
      <w:tblStyleColBandSize w:val="1"/>
      <w:tblBorders>
        <w:top w:val="single" w:sz="4" w:space="0" w:color="ECA0AF"/>
        <w:left w:val="single" w:sz="4" w:space="0" w:color="ECA0AF"/>
        <w:bottom w:val="single" w:sz="4" w:space="0" w:color="ECA0AF"/>
        <w:right w:val="single" w:sz="4" w:space="0" w:color="ECA0AF"/>
        <w:insideH w:val="single" w:sz="4" w:space="0" w:color="ECA0AF"/>
        <w:insideV w:val="single" w:sz="4" w:space="0" w:color="ECA0AF"/>
      </w:tblBorders>
    </w:tblPr>
    <w:tblStylePr w:type="firstRow">
      <w:rPr>
        <w:b/>
        <w:bCs/>
      </w:rPr>
      <w:tblPr/>
      <w:tcPr>
        <w:tcBorders>
          <w:bottom w:val="single" w:sz="12" w:space="0" w:color="E27187"/>
        </w:tcBorders>
      </w:tcPr>
    </w:tblStylePr>
    <w:tblStylePr w:type="lastRow">
      <w:rPr>
        <w:b/>
        <w:bCs/>
      </w:rPr>
      <w:tblPr/>
      <w:tcPr>
        <w:tcBorders>
          <w:top w:val="double" w:sz="2" w:space="0" w:color="E27187"/>
        </w:tcBorders>
      </w:tcPr>
    </w:tblStylePr>
    <w:tblStylePr w:type="firstCol">
      <w:rPr>
        <w:b/>
        <w:bCs/>
      </w:rPr>
    </w:tblStylePr>
    <w:tblStylePr w:type="lastCol">
      <w:rPr>
        <w:b/>
        <w:bCs/>
      </w:rPr>
    </w:tblStylePr>
  </w:style>
  <w:style w:type="table" w:customStyle="1" w:styleId="GridTable22">
    <w:name w:val="Grid Table 22"/>
    <w:basedOn w:val="TableNormal"/>
    <w:next w:val="GridTable2"/>
    <w:uiPriority w:val="47"/>
    <w:rsid w:val="0057062A"/>
    <w:pPr>
      <w:spacing w:after="0" w:line="240" w:lineRule="auto"/>
    </w:p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2">
    <w:name w:val="Grid Table 2 - Accent 12"/>
    <w:basedOn w:val="TableNormal"/>
    <w:next w:val="GridTable2-Accent1"/>
    <w:uiPriority w:val="47"/>
    <w:rsid w:val="0057062A"/>
    <w:pPr>
      <w:spacing w:after="0" w:line="240" w:lineRule="auto"/>
    </w:pPr>
    <w:tblPr>
      <w:tblStyleRowBandSize w:val="1"/>
      <w:tblStyleColBandSize w:val="1"/>
      <w:tblBorders>
        <w:top w:val="single" w:sz="2" w:space="0" w:color="20FBEF"/>
        <w:bottom w:val="single" w:sz="2" w:space="0" w:color="20FBEF"/>
        <w:insideH w:val="single" w:sz="2" w:space="0" w:color="20FBEF"/>
        <w:insideV w:val="single" w:sz="2" w:space="0" w:color="20FBEF"/>
      </w:tblBorders>
    </w:tblPr>
    <w:tblStylePr w:type="firstRow">
      <w:rPr>
        <w:b/>
        <w:bCs/>
      </w:rPr>
      <w:tblPr/>
      <w:tcPr>
        <w:tcBorders>
          <w:top w:val="nil"/>
          <w:bottom w:val="single" w:sz="12" w:space="0" w:color="20FBEF"/>
          <w:insideH w:val="nil"/>
          <w:insideV w:val="nil"/>
        </w:tcBorders>
        <w:shd w:val="clear" w:color="auto" w:fill="FFFFFF"/>
      </w:tcPr>
    </w:tblStylePr>
    <w:tblStylePr w:type="lastRow">
      <w:rPr>
        <w:b/>
        <w:bCs/>
      </w:rPr>
      <w:tblPr/>
      <w:tcPr>
        <w:tcBorders>
          <w:top w:val="double" w:sz="2" w:space="0" w:color="20FBE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4FEF9"/>
      </w:tcPr>
    </w:tblStylePr>
    <w:tblStylePr w:type="band1Horz">
      <w:tblPr/>
      <w:tcPr>
        <w:shd w:val="clear" w:color="auto" w:fill="B4FEF9"/>
      </w:tcPr>
    </w:tblStylePr>
  </w:style>
  <w:style w:type="table" w:customStyle="1" w:styleId="GridTable2-Accent22">
    <w:name w:val="Grid Table 2 - Accent 22"/>
    <w:basedOn w:val="TableNormal"/>
    <w:next w:val="GridTable2-Accent2"/>
    <w:uiPriority w:val="47"/>
    <w:rsid w:val="0057062A"/>
    <w:pPr>
      <w:spacing w:after="0" w:line="240" w:lineRule="auto"/>
    </w:pPr>
    <w:tblPr>
      <w:tblStyleRowBandSize w:val="1"/>
      <w:tblStyleColBandSize w:val="1"/>
      <w:tblBorders>
        <w:top w:val="single" w:sz="2" w:space="0" w:color="F7A78E"/>
        <w:bottom w:val="single" w:sz="2" w:space="0" w:color="F7A78E"/>
        <w:insideH w:val="single" w:sz="2" w:space="0" w:color="F7A78E"/>
        <w:insideV w:val="single" w:sz="2" w:space="0" w:color="F7A78E"/>
      </w:tblBorders>
    </w:tblPr>
    <w:tblStylePr w:type="firstRow">
      <w:rPr>
        <w:b/>
        <w:bCs/>
      </w:rPr>
      <w:tblPr/>
      <w:tcPr>
        <w:tcBorders>
          <w:top w:val="nil"/>
          <w:bottom w:val="single" w:sz="12" w:space="0" w:color="F7A78E"/>
          <w:insideH w:val="nil"/>
          <w:insideV w:val="nil"/>
        </w:tcBorders>
        <w:shd w:val="clear" w:color="auto" w:fill="FFFFFF"/>
      </w:tcPr>
    </w:tblStylePr>
    <w:tblStylePr w:type="lastRow">
      <w:rPr>
        <w:b/>
        <w:bCs/>
      </w:rPr>
      <w:tblPr/>
      <w:tcPr>
        <w:tcBorders>
          <w:top w:val="double" w:sz="2" w:space="0" w:color="F7A78E"/>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E1D9"/>
      </w:tcPr>
    </w:tblStylePr>
    <w:tblStylePr w:type="band1Horz">
      <w:tblPr/>
      <w:tcPr>
        <w:shd w:val="clear" w:color="auto" w:fill="FCE1D9"/>
      </w:tcPr>
    </w:tblStylePr>
  </w:style>
  <w:style w:type="table" w:customStyle="1" w:styleId="GridTable2-Accent32">
    <w:name w:val="Grid Table 2 - Accent 32"/>
    <w:basedOn w:val="TableNormal"/>
    <w:next w:val="GridTable2-Accent3"/>
    <w:uiPriority w:val="47"/>
    <w:rsid w:val="0057062A"/>
    <w:pPr>
      <w:spacing w:after="0" w:line="240" w:lineRule="auto"/>
    </w:pPr>
    <w:tblPr>
      <w:tblStyleRowBandSize w:val="1"/>
      <w:tblStyleColBandSize w:val="1"/>
      <w:tblBorders>
        <w:top w:val="single" w:sz="2" w:space="0" w:color="9BD7D4"/>
        <w:bottom w:val="single" w:sz="2" w:space="0" w:color="9BD7D4"/>
        <w:insideH w:val="single" w:sz="2" w:space="0" w:color="9BD7D4"/>
        <w:insideV w:val="single" w:sz="2" w:space="0" w:color="9BD7D4"/>
      </w:tblBorders>
    </w:tblPr>
    <w:tblStylePr w:type="firstRow">
      <w:rPr>
        <w:b/>
        <w:bCs/>
      </w:rPr>
      <w:tblPr/>
      <w:tcPr>
        <w:tcBorders>
          <w:top w:val="nil"/>
          <w:bottom w:val="single" w:sz="12" w:space="0" w:color="9BD7D4"/>
          <w:insideH w:val="nil"/>
          <w:insideV w:val="nil"/>
        </w:tcBorders>
        <w:shd w:val="clear" w:color="auto" w:fill="FFFFFF"/>
      </w:tcPr>
    </w:tblStylePr>
    <w:tblStylePr w:type="lastRow">
      <w:rPr>
        <w:b/>
        <w:bCs/>
      </w:rPr>
      <w:tblPr/>
      <w:tcPr>
        <w:tcBorders>
          <w:top w:val="double" w:sz="2" w:space="0" w:color="9BD7D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DF1F0"/>
      </w:tcPr>
    </w:tblStylePr>
    <w:tblStylePr w:type="band1Horz">
      <w:tblPr/>
      <w:tcPr>
        <w:shd w:val="clear" w:color="auto" w:fill="DDF1F0"/>
      </w:tcPr>
    </w:tblStylePr>
  </w:style>
  <w:style w:type="table" w:customStyle="1" w:styleId="GridTable2-Accent42">
    <w:name w:val="Grid Table 2 - Accent 42"/>
    <w:basedOn w:val="TableNormal"/>
    <w:next w:val="GridTable2-Accent4"/>
    <w:uiPriority w:val="47"/>
    <w:rsid w:val="0057062A"/>
    <w:pPr>
      <w:spacing w:after="0" w:line="240" w:lineRule="auto"/>
    </w:pPr>
    <w:tblPr>
      <w:tblStyleRowBandSize w:val="1"/>
      <w:tblStyleColBandSize w:val="1"/>
      <w:tblBorders>
        <w:top w:val="single" w:sz="2" w:space="0" w:color="FDD484"/>
        <w:bottom w:val="single" w:sz="2" w:space="0" w:color="FDD484"/>
        <w:insideH w:val="single" w:sz="2" w:space="0" w:color="FDD484"/>
        <w:insideV w:val="single" w:sz="2" w:space="0" w:color="FDD484"/>
      </w:tblBorders>
    </w:tblPr>
    <w:tblStylePr w:type="firstRow">
      <w:rPr>
        <w:b/>
        <w:bCs/>
      </w:rPr>
      <w:tblPr/>
      <w:tcPr>
        <w:tcBorders>
          <w:top w:val="nil"/>
          <w:bottom w:val="single" w:sz="12" w:space="0" w:color="FDD484"/>
          <w:insideH w:val="nil"/>
          <w:insideV w:val="nil"/>
        </w:tcBorders>
        <w:shd w:val="clear" w:color="auto" w:fill="FFFFFF"/>
      </w:tcPr>
    </w:tblStylePr>
    <w:tblStylePr w:type="lastRow">
      <w:rPr>
        <w:b/>
        <w:bCs/>
      </w:rPr>
      <w:tblPr/>
      <w:tcPr>
        <w:tcBorders>
          <w:top w:val="double" w:sz="2" w:space="0" w:color="FDD48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EF0D6"/>
      </w:tcPr>
    </w:tblStylePr>
    <w:tblStylePr w:type="band1Horz">
      <w:tblPr/>
      <w:tcPr>
        <w:shd w:val="clear" w:color="auto" w:fill="FEF0D6"/>
      </w:tcPr>
    </w:tblStylePr>
  </w:style>
  <w:style w:type="table" w:customStyle="1" w:styleId="GridTable2-Accent52">
    <w:name w:val="Grid Table 2 - Accent 52"/>
    <w:basedOn w:val="TableNormal"/>
    <w:next w:val="GridTable2-Accent5"/>
    <w:uiPriority w:val="47"/>
    <w:rsid w:val="0057062A"/>
    <w:pPr>
      <w:spacing w:after="0" w:line="240" w:lineRule="auto"/>
    </w:pPr>
    <w:tblPr>
      <w:tblStyleRowBandSize w:val="1"/>
      <w:tblStyleColBandSize w:val="1"/>
      <w:tblBorders>
        <w:top w:val="single" w:sz="2" w:space="0" w:color="A6CDA6"/>
        <w:bottom w:val="single" w:sz="2" w:space="0" w:color="A6CDA6"/>
        <w:insideH w:val="single" w:sz="2" w:space="0" w:color="A6CDA6"/>
        <w:insideV w:val="single" w:sz="2" w:space="0" w:color="A6CDA6"/>
      </w:tblBorders>
    </w:tblPr>
    <w:tblStylePr w:type="firstRow">
      <w:rPr>
        <w:b/>
        <w:bCs/>
      </w:rPr>
      <w:tblPr/>
      <w:tcPr>
        <w:tcBorders>
          <w:top w:val="nil"/>
          <w:bottom w:val="single" w:sz="12" w:space="0" w:color="A6CDA6"/>
          <w:insideH w:val="nil"/>
          <w:insideV w:val="nil"/>
        </w:tcBorders>
        <w:shd w:val="clear" w:color="auto" w:fill="FFFFFF"/>
      </w:tcPr>
    </w:tblStylePr>
    <w:tblStylePr w:type="lastRow">
      <w:rPr>
        <w:b/>
        <w:bCs/>
      </w:rPr>
      <w:tblPr/>
      <w:tcPr>
        <w:tcBorders>
          <w:top w:val="double" w:sz="2" w:space="0" w:color="A6CDA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1EEE1"/>
      </w:tcPr>
    </w:tblStylePr>
    <w:tblStylePr w:type="band1Horz">
      <w:tblPr/>
      <w:tcPr>
        <w:shd w:val="clear" w:color="auto" w:fill="E1EEE1"/>
      </w:tcPr>
    </w:tblStylePr>
  </w:style>
  <w:style w:type="table" w:customStyle="1" w:styleId="GridTable2-Accent62">
    <w:name w:val="Grid Table 2 - Accent 62"/>
    <w:basedOn w:val="TableNormal"/>
    <w:next w:val="GridTable2-Accent6"/>
    <w:uiPriority w:val="47"/>
    <w:rsid w:val="0057062A"/>
    <w:pPr>
      <w:spacing w:after="0" w:line="240" w:lineRule="auto"/>
    </w:pPr>
    <w:tblPr>
      <w:tblStyleRowBandSize w:val="1"/>
      <w:tblStyleColBandSize w:val="1"/>
      <w:tblBorders>
        <w:top w:val="single" w:sz="2" w:space="0" w:color="E27187"/>
        <w:bottom w:val="single" w:sz="2" w:space="0" w:color="E27187"/>
        <w:insideH w:val="single" w:sz="2" w:space="0" w:color="E27187"/>
        <w:insideV w:val="single" w:sz="2" w:space="0" w:color="E27187"/>
      </w:tblBorders>
    </w:tblPr>
    <w:tblStylePr w:type="firstRow">
      <w:rPr>
        <w:b/>
        <w:bCs/>
      </w:rPr>
      <w:tblPr/>
      <w:tcPr>
        <w:tcBorders>
          <w:top w:val="nil"/>
          <w:bottom w:val="single" w:sz="12" w:space="0" w:color="E27187"/>
          <w:insideH w:val="nil"/>
          <w:insideV w:val="nil"/>
        </w:tcBorders>
        <w:shd w:val="clear" w:color="auto" w:fill="FFFFFF"/>
      </w:tcPr>
    </w:tblStylePr>
    <w:tblStylePr w:type="lastRow">
      <w:rPr>
        <w:b/>
        <w:bCs/>
      </w:rPr>
      <w:tblPr/>
      <w:tcPr>
        <w:tcBorders>
          <w:top w:val="double" w:sz="2" w:space="0" w:color="E2718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5CFD7"/>
      </w:tcPr>
    </w:tblStylePr>
    <w:tblStylePr w:type="band1Horz">
      <w:tblPr/>
      <w:tcPr>
        <w:shd w:val="clear" w:color="auto" w:fill="F5CFD7"/>
      </w:tcPr>
    </w:tblStylePr>
  </w:style>
  <w:style w:type="table" w:customStyle="1" w:styleId="GridTable32">
    <w:name w:val="Grid Table 32"/>
    <w:basedOn w:val="TableNormal"/>
    <w:next w:val="GridTable3"/>
    <w:uiPriority w:val="48"/>
    <w:rsid w:val="0057062A"/>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2">
    <w:name w:val="Grid Table 3 - Accent 12"/>
    <w:basedOn w:val="TableNormal"/>
    <w:next w:val="GridTable3-Accent1"/>
    <w:uiPriority w:val="48"/>
    <w:rsid w:val="0057062A"/>
    <w:pPr>
      <w:spacing w:after="0" w:line="240" w:lineRule="auto"/>
    </w:pPr>
    <w:tblPr>
      <w:tblStyleRowBandSize w:val="1"/>
      <w:tblStyleColBandSize w:val="1"/>
      <w:tblBorders>
        <w:top w:val="single" w:sz="4" w:space="0" w:color="20FBEF"/>
        <w:left w:val="single" w:sz="4" w:space="0" w:color="20FBEF"/>
        <w:bottom w:val="single" w:sz="4" w:space="0" w:color="20FBEF"/>
        <w:right w:val="single" w:sz="4" w:space="0" w:color="20FBEF"/>
        <w:insideH w:val="single" w:sz="4" w:space="0" w:color="20FBEF"/>
        <w:insideV w:val="single" w:sz="4" w:space="0" w:color="20FBE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4FEF9"/>
      </w:tcPr>
    </w:tblStylePr>
    <w:tblStylePr w:type="band1Horz">
      <w:tblPr/>
      <w:tcPr>
        <w:shd w:val="clear" w:color="auto" w:fill="B4FEF9"/>
      </w:tcPr>
    </w:tblStylePr>
    <w:tblStylePr w:type="neCell">
      <w:tblPr/>
      <w:tcPr>
        <w:tcBorders>
          <w:bottom w:val="single" w:sz="4" w:space="0" w:color="20FBEF"/>
        </w:tcBorders>
      </w:tcPr>
    </w:tblStylePr>
    <w:tblStylePr w:type="nwCell">
      <w:tblPr/>
      <w:tcPr>
        <w:tcBorders>
          <w:bottom w:val="single" w:sz="4" w:space="0" w:color="20FBEF"/>
        </w:tcBorders>
      </w:tcPr>
    </w:tblStylePr>
    <w:tblStylePr w:type="seCell">
      <w:tblPr/>
      <w:tcPr>
        <w:tcBorders>
          <w:top w:val="single" w:sz="4" w:space="0" w:color="20FBEF"/>
        </w:tcBorders>
      </w:tcPr>
    </w:tblStylePr>
    <w:tblStylePr w:type="swCell">
      <w:tblPr/>
      <w:tcPr>
        <w:tcBorders>
          <w:top w:val="single" w:sz="4" w:space="0" w:color="20FBEF"/>
        </w:tcBorders>
      </w:tcPr>
    </w:tblStylePr>
  </w:style>
  <w:style w:type="table" w:customStyle="1" w:styleId="GridTable3-Accent22">
    <w:name w:val="Grid Table 3 - Accent 22"/>
    <w:basedOn w:val="TableNormal"/>
    <w:next w:val="GridTable3-Accent2"/>
    <w:uiPriority w:val="48"/>
    <w:rsid w:val="0057062A"/>
    <w:pPr>
      <w:spacing w:after="0" w:line="240" w:lineRule="auto"/>
    </w:pPr>
    <w:tblPr>
      <w:tblStyleRowBandSize w:val="1"/>
      <w:tblStyleColBandSize w:val="1"/>
      <w:tblBorders>
        <w:top w:val="single" w:sz="4" w:space="0" w:color="F7A78E"/>
        <w:left w:val="single" w:sz="4" w:space="0" w:color="F7A78E"/>
        <w:bottom w:val="single" w:sz="4" w:space="0" w:color="F7A78E"/>
        <w:right w:val="single" w:sz="4" w:space="0" w:color="F7A78E"/>
        <w:insideH w:val="single" w:sz="4" w:space="0" w:color="F7A78E"/>
        <w:insideV w:val="single" w:sz="4" w:space="0" w:color="F7A78E"/>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CE1D9"/>
      </w:tcPr>
    </w:tblStylePr>
    <w:tblStylePr w:type="band1Horz">
      <w:tblPr/>
      <w:tcPr>
        <w:shd w:val="clear" w:color="auto" w:fill="FCE1D9"/>
      </w:tcPr>
    </w:tblStylePr>
    <w:tblStylePr w:type="neCell">
      <w:tblPr/>
      <w:tcPr>
        <w:tcBorders>
          <w:bottom w:val="single" w:sz="4" w:space="0" w:color="F7A78E"/>
        </w:tcBorders>
      </w:tcPr>
    </w:tblStylePr>
    <w:tblStylePr w:type="nwCell">
      <w:tblPr/>
      <w:tcPr>
        <w:tcBorders>
          <w:bottom w:val="single" w:sz="4" w:space="0" w:color="F7A78E"/>
        </w:tcBorders>
      </w:tcPr>
    </w:tblStylePr>
    <w:tblStylePr w:type="seCell">
      <w:tblPr/>
      <w:tcPr>
        <w:tcBorders>
          <w:top w:val="single" w:sz="4" w:space="0" w:color="F7A78E"/>
        </w:tcBorders>
      </w:tcPr>
    </w:tblStylePr>
    <w:tblStylePr w:type="swCell">
      <w:tblPr/>
      <w:tcPr>
        <w:tcBorders>
          <w:top w:val="single" w:sz="4" w:space="0" w:color="F7A78E"/>
        </w:tcBorders>
      </w:tcPr>
    </w:tblStylePr>
  </w:style>
  <w:style w:type="table" w:customStyle="1" w:styleId="GridTable3-Accent32">
    <w:name w:val="Grid Table 3 - Accent 32"/>
    <w:basedOn w:val="TableNormal"/>
    <w:next w:val="GridTable3-Accent3"/>
    <w:uiPriority w:val="48"/>
    <w:rsid w:val="0057062A"/>
    <w:pPr>
      <w:spacing w:after="0" w:line="240" w:lineRule="auto"/>
    </w:pPr>
    <w:tblPr>
      <w:tblStyleRowBandSize w:val="1"/>
      <w:tblStyleColBandSize w:val="1"/>
      <w:tblBorders>
        <w:top w:val="single" w:sz="4" w:space="0" w:color="9BD7D4"/>
        <w:left w:val="single" w:sz="4" w:space="0" w:color="9BD7D4"/>
        <w:bottom w:val="single" w:sz="4" w:space="0" w:color="9BD7D4"/>
        <w:right w:val="single" w:sz="4" w:space="0" w:color="9BD7D4"/>
        <w:insideH w:val="single" w:sz="4" w:space="0" w:color="9BD7D4"/>
        <w:insideV w:val="single" w:sz="4" w:space="0" w:color="9BD7D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F1F0"/>
      </w:tcPr>
    </w:tblStylePr>
    <w:tblStylePr w:type="band1Horz">
      <w:tblPr/>
      <w:tcPr>
        <w:shd w:val="clear" w:color="auto" w:fill="DDF1F0"/>
      </w:tcPr>
    </w:tblStylePr>
    <w:tblStylePr w:type="neCell">
      <w:tblPr/>
      <w:tcPr>
        <w:tcBorders>
          <w:bottom w:val="single" w:sz="4" w:space="0" w:color="9BD7D4"/>
        </w:tcBorders>
      </w:tcPr>
    </w:tblStylePr>
    <w:tblStylePr w:type="nwCell">
      <w:tblPr/>
      <w:tcPr>
        <w:tcBorders>
          <w:bottom w:val="single" w:sz="4" w:space="0" w:color="9BD7D4"/>
        </w:tcBorders>
      </w:tcPr>
    </w:tblStylePr>
    <w:tblStylePr w:type="seCell">
      <w:tblPr/>
      <w:tcPr>
        <w:tcBorders>
          <w:top w:val="single" w:sz="4" w:space="0" w:color="9BD7D4"/>
        </w:tcBorders>
      </w:tcPr>
    </w:tblStylePr>
    <w:tblStylePr w:type="swCell">
      <w:tblPr/>
      <w:tcPr>
        <w:tcBorders>
          <w:top w:val="single" w:sz="4" w:space="0" w:color="9BD7D4"/>
        </w:tcBorders>
      </w:tcPr>
    </w:tblStylePr>
  </w:style>
  <w:style w:type="table" w:customStyle="1" w:styleId="GridTable3-Accent42">
    <w:name w:val="Grid Table 3 - Accent 42"/>
    <w:basedOn w:val="TableNormal"/>
    <w:next w:val="GridTable3-Accent4"/>
    <w:uiPriority w:val="48"/>
    <w:rsid w:val="0057062A"/>
    <w:pPr>
      <w:spacing w:after="0" w:line="240" w:lineRule="auto"/>
    </w:pPr>
    <w:tblPr>
      <w:tblStyleRowBandSize w:val="1"/>
      <w:tblStyleColBandSize w:val="1"/>
      <w:tblBorders>
        <w:top w:val="single" w:sz="4" w:space="0" w:color="FDD484"/>
        <w:left w:val="single" w:sz="4" w:space="0" w:color="FDD484"/>
        <w:bottom w:val="single" w:sz="4" w:space="0" w:color="FDD484"/>
        <w:right w:val="single" w:sz="4" w:space="0" w:color="FDD484"/>
        <w:insideH w:val="single" w:sz="4" w:space="0" w:color="FDD484"/>
        <w:insideV w:val="single" w:sz="4" w:space="0" w:color="FDD48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EF0D6"/>
      </w:tcPr>
    </w:tblStylePr>
    <w:tblStylePr w:type="band1Horz">
      <w:tblPr/>
      <w:tcPr>
        <w:shd w:val="clear" w:color="auto" w:fill="FEF0D6"/>
      </w:tcPr>
    </w:tblStylePr>
    <w:tblStylePr w:type="neCell">
      <w:tblPr/>
      <w:tcPr>
        <w:tcBorders>
          <w:bottom w:val="single" w:sz="4" w:space="0" w:color="FDD484"/>
        </w:tcBorders>
      </w:tcPr>
    </w:tblStylePr>
    <w:tblStylePr w:type="nwCell">
      <w:tblPr/>
      <w:tcPr>
        <w:tcBorders>
          <w:bottom w:val="single" w:sz="4" w:space="0" w:color="FDD484"/>
        </w:tcBorders>
      </w:tcPr>
    </w:tblStylePr>
    <w:tblStylePr w:type="seCell">
      <w:tblPr/>
      <w:tcPr>
        <w:tcBorders>
          <w:top w:val="single" w:sz="4" w:space="0" w:color="FDD484"/>
        </w:tcBorders>
      </w:tcPr>
    </w:tblStylePr>
    <w:tblStylePr w:type="swCell">
      <w:tblPr/>
      <w:tcPr>
        <w:tcBorders>
          <w:top w:val="single" w:sz="4" w:space="0" w:color="FDD484"/>
        </w:tcBorders>
      </w:tcPr>
    </w:tblStylePr>
  </w:style>
  <w:style w:type="table" w:customStyle="1" w:styleId="GridTable3-Accent52">
    <w:name w:val="Grid Table 3 - Accent 52"/>
    <w:basedOn w:val="TableNormal"/>
    <w:next w:val="GridTable3-Accent5"/>
    <w:uiPriority w:val="48"/>
    <w:rsid w:val="0057062A"/>
    <w:pPr>
      <w:spacing w:after="0" w:line="240" w:lineRule="auto"/>
    </w:pPr>
    <w:tblPr>
      <w:tblStyleRowBandSize w:val="1"/>
      <w:tblStyleColBandSize w:val="1"/>
      <w:tblBorders>
        <w:top w:val="single" w:sz="4" w:space="0" w:color="A6CDA6"/>
        <w:left w:val="single" w:sz="4" w:space="0" w:color="A6CDA6"/>
        <w:bottom w:val="single" w:sz="4" w:space="0" w:color="A6CDA6"/>
        <w:right w:val="single" w:sz="4" w:space="0" w:color="A6CDA6"/>
        <w:insideH w:val="single" w:sz="4" w:space="0" w:color="A6CDA6"/>
        <w:insideV w:val="single" w:sz="4" w:space="0" w:color="A6CDA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1EEE1"/>
      </w:tcPr>
    </w:tblStylePr>
    <w:tblStylePr w:type="band1Horz">
      <w:tblPr/>
      <w:tcPr>
        <w:shd w:val="clear" w:color="auto" w:fill="E1EEE1"/>
      </w:tcPr>
    </w:tblStylePr>
    <w:tblStylePr w:type="neCell">
      <w:tblPr/>
      <w:tcPr>
        <w:tcBorders>
          <w:bottom w:val="single" w:sz="4" w:space="0" w:color="A6CDA6"/>
        </w:tcBorders>
      </w:tcPr>
    </w:tblStylePr>
    <w:tblStylePr w:type="nwCell">
      <w:tblPr/>
      <w:tcPr>
        <w:tcBorders>
          <w:bottom w:val="single" w:sz="4" w:space="0" w:color="A6CDA6"/>
        </w:tcBorders>
      </w:tcPr>
    </w:tblStylePr>
    <w:tblStylePr w:type="seCell">
      <w:tblPr/>
      <w:tcPr>
        <w:tcBorders>
          <w:top w:val="single" w:sz="4" w:space="0" w:color="A6CDA6"/>
        </w:tcBorders>
      </w:tcPr>
    </w:tblStylePr>
    <w:tblStylePr w:type="swCell">
      <w:tblPr/>
      <w:tcPr>
        <w:tcBorders>
          <w:top w:val="single" w:sz="4" w:space="0" w:color="A6CDA6"/>
        </w:tcBorders>
      </w:tcPr>
    </w:tblStylePr>
  </w:style>
  <w:style w:type="table" w:customStyle="1" w:styleId="GridTable3-Accent62">
    <w:name w:val="Grid Table 3 - Accent 62"/>
    <w:basedOn w:val="TableNormal"/>
    <w:next w:val="GridTable3-Accent6"/>
    <w:uiPriority w:val="48"/>
    <w:rsid w:val="0057062A"/>
    <w:pPr>
      <w:spacing w:after="0" w:line="240" w:lineRule="auto"/>
    </w:pPr>
    <w:tblPr>
      <w:tblStyleRowBandSize w:val="1"/>
      <w:tblStyleColBandSize w:val="1"/>
      <w:tblBorders>
        <w:top w:val="single" w:sz="4" w:space="0" w:color="E27187"/>
        <w:left w:val="single" w:sz="4" w:space="0" w:color="E27187"/>
        <w:bottom w:val="single" w:sz="4" w:space="0" w:color="E27187"/>
        <w:right w:val="single" w:sz="4" w:space="0" w:color="E27187"/>
        <w:insideH w:val="single" w:sz="4" w:space="0" w:color="E27187"/>
        <w:insideV w:val="single" w:sz="4" w:space="0" w:color="E2718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5CFD7"/>
      </w:tcPr>
    </w:tblStylePr>
    <w:tblStylePr w:type="band1Horz">
      <w:tblPr/>
      <w:tcPr>
        <w:shd w:val="clear" w:color="auto" w:fill="F5CFD7"/>
      </w:tcPr>
    </w:tblStylePr>
    <w:tblStylePr w:type="neCell">
      <w:tblPr/>
      <w:tcPr>
        <w:tcBorders>
          <w:bottom w:val="single" w:sz="4" w:space="0" w:color="E27187"/>
        </w:tcBorders>
      </w:tcPr>
    </w:tblStylePr>
    <w:tblStylePr w:type="nwCell">
      <w:tblPr/>
      <w:tcPr>
        <w:tcBorders>
          <w:bottom w:val="single" w:sz="4" w:space="0" w:color="E27187"/>
        </w:tcBorders>
      </w:tcPr>
    </w:tblStylePr>
    <w:tblStylePr w:type="seCell">
      <w:tblPr/>
      <w:tcPr>
        <w:tcBorders>
          <w:top w:val="single" w:sz="4" w:space="0" w:color="E27187"/>
        </w:tcBorders>
      </w:tcPr>
    </w:tblStylePr>
    <w:tblStylePr w:type="swCell">
      <w:tblPr/>
      <w:tcPr>
        <w:tcBorders>
          <w:top w:val="single" w:sz="4" w:space="0" w:color="E27187"/>
        </w:tcBorders>
      </w:tcPr>
    </w:tblStylePr>
  </w:style>
  <w:style w:type="table" w:customStyle="1" w:styleId="GridTable42">
    <w:name w:val="Grid Table 42"/>
    <w:basedOn w:val="TableNormal"/>
    <w:next w:val="GridTable4"/>
    <w:uiPriority w:val="49"/>
    <w:rsid w:val="0057062A"/>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2">
    <w:name w:val="Grid Table 4 - Accent 12"/>
    <w:basedOn w:val="TableNormal"/>
    <w:next w:val="GridTable4-Accent1"/>
    <w:uiPriority w:val="49"/>
    <w:rsid w:val="0057062A"/>
    <w:pPr>
      <w:spacing w:after="0" w:line="240" w:lineRule="auto"/>
    </w:pPr>
    <w:tblPr>
      <w:tblStyleRowBandSize w:val="1"/>
      <w:tblStyleColBandSize w:val="1"/>
      <w:tblBorders>
        <w:top w:val="single" w:sz="4" w:space="0" w:color="20FBEF"/>
        <w:left w:val="single" w:sz="4" w:space="0" w:color="20FBEF"/>
        <w:bottom w:val="single" w:sz="4" w:space="0" w:color="20FBEF"/>
        <w:right w:val="single" w:sz="4" w:space="0" w:color="20FBEF"/>
        <w:insideH w:val="single" w:sz="4" w:space="0" w:color="20FBEF"/>
        <w:insideV w:val="single" w:sz="4" w:space="0" w:color="20FBEF"/>
      </w:tblBorders>
    </w:tblPr>
    <w:tblStylePr w:type="firstRow">
      <w:rPr>
        <w:b/>
        <w:bCs/>
        <w:color w:val="FFFFFF"/>
      </w:rPr>
      <w:tblPr/>
      <w:tcPr>
        <w:tcBorders>
          <w:top w:val="single" w:sz="4" w:space="0" w:color="02847D"/>
          <w:left w:val="single" w:sz="4" w:space="0" w:color="02847D"/>
          <w:bottom w:val="single" w:sz="4" w:space="0" w:color="02847D"/>
          <w:right w:val="single" w:sz="4" w:space="0" w:color="02847D"/>
          <w:insideH w:val="nil"/>
          <w:insideV w:val="nil"/>
        </w:tcBorders>
        <w:shd w:val="clear" w:color="auto" w:fill="02847D"/>
      </w:tcPr>
    </w:tblStylePr>
    <w:tblStylePr w:type="lastRow">
      <w:rPr>
        <w:b/>
        <w:bCs/>
      </w:rPr>
      <w:tblPr/>
      <w:tcPr>
        <w:tcBorders>
          <w:top w:val="double" w:sz="4" w:space="0" w:color="02847D"/>
        </w:tcBorders>
      </w:tcPr>
    </w:tblStylePr>
    <w:tblStylePr w:type="firstCol">
      <w:rPr>
        <w:b/>
        <w:bCs/>
      </w:rPr>
    </w:tblStylePr>
    <w:tblStylePr w:type="lastCol">
      <w:rPr>
        <w:b/>
        <w:bCs/>
      </w:rPr>
    </w:tblStylePr>
    <w:tblStylePr w:type="band1Vert">
      <w:tblPr/>
      <w:tcPr>
        <w:shd w:val="clear" w:color="auto" w:fill="B4FEF9"/>
      </w:tcPr>
    </w:tblStylePr>
    <w:tblStylePr w:type="band1Horz">
      <w:tblPr/>
      <w:tcPr>
        <w:shd w:val="clear" w:color="auto" w:fill="B4FEF9"/>
      </w:tcPr>
    </w:tblStylePr>
  </w:style>
  <w:style w:type="table" w:customStyle="1" w:styleId="GridTable4-Accent22">
    <w:name w:val="Grid Table 4 - Accent 22"/>
    <w:basedOn w:val="TableNormal"/>
    <w:next w:val="GridTable4-Accent2"/>
    <w:uiPriority w:val="49"/>
    <w:rsid w:val="0057062A"/>
    <w:pPr>
      <w:spacing w:after="0" w:line="240" w:lineRule="auto"/>
    </w:pPr>
    <w:tblPr>
      <w:tblStyleRowBandSize w:val="1"/>
      <w:tblStyleColBandSize w:val="1"/>
      <w:tblBorders>
        <w:top w:val="single" w:sz="4" w:space="0" w:color="F7A78E"/>
        <w:left w:val="single" w:sz="4" w:space="0" w:color="F7A78E"/>
        <w:bottom w:val="single" w:sz="4" w:space="0" w:color="F7A78E"/>
        <w:right w:val="single" w:sz="4" w:space="0" w:color="F7A78E"/>
        <w:insideH w:val="single" w:sz="4" w:space="0" w:color="F7A78E"/>
        <w:insideV w:val="single" w:sz="4" w:space="0" w:color="F7A78E"/>
      </w:tblBorders>
    </w:tblPr>
    <w:tblStylePr w:type="firstRow">
      <w:rPr>
        <w:b/>
        <w:bCs/>
        <w:color w:val="FFFFFF"/>
      </w:rPr>
      <w:tblPr/>
      <w:tcPr>
        <w:tcBorders>
          <w:top w:val="single" w:sz="4" w:space="0" w:color="F36E44"/>
          <w:left w:val="single" w:sz="4" w:space="0" w:color="F36E44"/>
          <w:bottom w:val="single" w:sz="4" w:space="0" w:color="F36E44"/>
          <w:right w:val="single" w:sz="4" w:space="0" w:color="F36E44"/>
          <w:insideH w:val="nil"/>
          <w:insideV w:val="nil"/>
        </w:tcBorders>
        <w:shd w:val="clear" w:color="auto" w:fill="F36E44"/>
      </w:tcPr>
    </w:tblStylePr>
    <w:tblStylePr w:type="lastRow">
      <w:rPr>
        <w:b/>
        <w:bCs/>
      </w:rPr>
      <w:tblPr/>
      <w:tcPr>
        <w:tcBorders>
          <w:top w:val="double" w:sz="4" w:space="0" w:color="F36E44"/>
        </w:tcBorders>
      </w:tcPr>
    </w:tblStylePr>
    <w:tblStylePr w:type="firstCol">
      <w:rPr>
        <w:b/>
        <w:bCs/>
      </w:rPr>
    </w:tblStylePr>
    <w:tblStylePr w:type="lastCol">
      <w:rPr>
        <w:b/>
        <w:bCs/>
      </w:rPr>
    </w:tblStylePr>
    <w:tblStylePr w:type="band1Vert">
      <w:tblPr/>
      <w:tcPr>
        <w:shd w:val="clear" w:color="auto" w:fill="FCE1D9"/>
      </w:tcPr>
    </w:tblStylePr>
    <w:tblStylePr w:type="band1Horz">
      <w:tblPr/>
      <w:tcPr>
        <w:shd w:val="clear" w:color="auto" w:fill="FCE1D9"/>
      </w:tcPr>
    </w:tblStylePr>
  </w:style>
  <w:style w:type="table" w:customStyle="1" w:styleId="GridTable4-Accent32">
    <w:name w:val="Grid Table 4 - Accent 32"/>
    <w:basedOn w:val="TableNormal"/>
    <w:next w:val="GridTable4-Accent3"/>
    <w:uiPriority w:val="49"/>
    <w:rsid w:val="0057062A"/>
    <w:pPr>
      <w:spacing w:after="0" w:line="240" w:lineRule="auto"/>
    </w:pPr>
    <w:tblPr>
      <w:tblStyleRowBandSize w:val="1"/>
      <w:tblStyleColBandSize w:val="1"/>
      <w:tblBorders>
        <w:top w:val="single" w:sz="4" w:space="0" w:color="9BD7D4"/>
        <w:left w:val="single" w:sz="4" w:space="0" w:color="9BD7D4"/>
        <w:bottom w:val="single" w:sz="4" w:space="0" w:color="9BD7D4"/>
        <w:right w:val="single" w:sz="4" w:space="0" w:color="9BD7D4"/>
        <w:insideH w:val="single" w:sz="4" w:space="0" w:color="9BD7D4"/>
        <w:insideV w:val="single" w:sz="4" w:space="0" w:color="9BD7D4"/>
      </w:tblBorders>
    </w:tblPr>
    <w:tblStylePr w:type="firstRow">
      <w:rPr>
        <w:b/>
        <w:bCs/>
        <w:color w:val="FFFFFF"/>
      </w:rPr>
      <w:tblPr/>
      <w:tcPr>
        <w:tcBorders>
          <w:top w:val="single" w:sz="4" w:space="0" w:color="59BDB8"/>
          <w:left w:val="single" w:sz="4" w:space="0" w:color="59BDB8"/>
          <w:bottom w:val="single" w:sz="4" w:space="0" w:color="59BDB8"/>
          <w:right w:val="single" w:sz="4" w:space="0" w:color="59BDB8"/>
          <w:insideH w:val="nil"/>
          <w:insideV w:val="nil"/>
        </w:tcBorders>
        <w:shd w:val="clear" w:color="auto" w:fill="59BDB8"/>
      </w:tcPr>
    </w:tblStylePr>
    <w:tblStylePr w:type="lastRow">
      <w:rPr>
        <w:b/>
        <w:bCs/>
      </w:rPr>
      <w:tblPr/>
      <w:tcPr>
        <w:tcBorders>
          <w:top w:val="double" w:sz="4" w:space="0" w:color="59BDB8"/>
        </w:tcBorders>
      </w:tcPr>
    </w:tblStylePr>
    <w:tblStylePr w:type="firstCol">
      <w:rPr>
        <w:b/>
        <w:bCs/>
      </w:rPr>
    </w:tblStylePr>
    <w:tblStylePr w:type="lastCol">
      <w:rPr>
        <w:b/>
        <w:bCs/>
      </w:rPr>
    </w:tblStylePr>
    <w:tblStylePr w:type="band1Vert">
      <w:tblPr/>
      <w:tcPr>
        <w:shd w:val="clear" w:color="auto" w:fill="DDF1F0"/>
      </w:tcPr>
    </w:tblStylePr>
    <w:tblStylePr w:type="band1Horz">
      <w:tblPr/>
      <w:tcPr>
        <w:shd w:val="clear" w:color="auto" w:fill="DDF1F0"/>
      </w:tcPr>
    </w:tblStylePr>
  </w:style>
  <w:style w:type="table" w:customStyle="1" w:styleId="GridTable4-Accent42">
    <w:name w:val="Grid Table 4 - Accent 42"/>
    <w:basedOn w:val="TableNormal"/>
    <w:next w:val="GridTable4-Accent4"/>
    <w:uiPriority w:val="49"/>
    <w:rsid w:val="0057062A"/>
    <w:pPr>
      <w:spacing w:after="0" w:line="240" w:lineRule="auto"/>
    </w:pPr>
    <w:tblPr>
      <w:tblStyleRowBandSize w:val="1"/>
      <w:tblStyleColBandSize w:val="1"/>
      <w:tblBorders>
        <w:top w:val="single" w:sz="4" w:space="0" w:color="FDD484"/>
        <w:left w:val="single" w:sz="4" w:space="0" w:color="FDD484"/>
        <w:bottom w:val="single" w:sz="4" w:space="0" w:color="FDD484"/>
        <w:right w:val="single" w:sz="4" w:space="0" w:color="FDD484"/>
        <w:insideH w:val="single" w:sz="4" w:space="0" w:color="FDD484"/>
        <w:insideV w:val="single" w:sz="4" w:space="0" w:color="FDD484"/>
      </w:tblBorders>
    </w:tblPr>
    <w:tblStylePr w:type="firstRow">
      <w:rPr>
        <w:b/>
        <w:bCs/>
        <w:color w:val="FFFFFF"/>
      </w:rPr>
      <w:tblPr/>
      <w:tcPr>
        <w:tcBorders>
          <w:top w:val="single" w:sz="4" w:space="0" w:color="FDB933"/>
          <w:left w:val="single" w:sz="4" w:space="0" w:color="FDB933"/>
          <w:bottom w:val="single" w:sz="4" w:space="0" w:color="FDB933"/>
          <w:right w:val="single" w:sz="4" w:space="0" w:color="FDB933"/>
          <w:insideH w:val="nil"/>
          <w:insideV w:val="nil"/>
        </w:tcBorders>
        <w:shd w:val="clear" w:color="auto" w:fill="FDB933"/>
      </w:tcPr>
    </w:tblStylePr>
    <w:tblStylePr w:type="lastRow">
      <w:rPr>
        <w:b/>
        <w:bCs/>
      </w:rPr>
      <w:tblPr/>
      <w:tcPr>
        <w:tcBorders>
          <w:top w:val="double" w:sz="4" w:space="0" w:color="FDB933"/>
        </w:tcBorders>
      </w:tcPr>
    </w:tblStylePr>
    <w:tblStylePr w:type="firstCol">
      <w:rPr>
        <w:b/>
        <w:bCs/>
      </w:rPr>
    </w:tblStylePr>
    <w:tblStylePr w:type="lastCol">
      <w:rPr>
        <w:b/>
        <w:bCs/>
      </w:rPr>
    </w:tblStylePr>
    <w:tblStylePr w:type="band1Vert">
      <w:tblPr/>
      <w:tcPr>
        <w:shd w:val="clear" w:color="auto" w:fill="FEF0D6"/>
      </w:tcPr>
    </w:tblStylePr>
    <w:tblStylePr w:type="band1Horz">
      <w:tblPr/>
      <w:tcPr>
        <w:shd w:val="clear" w:color="auto" w:fill="FEF0D6"/>
      </w:tcPr>
    </w:tblStylePr>
  </w:style>
  <w:style w:type="table" w:customStyle="1" w:styleId="GridTable4-Accent52">
    <w:name w:val="Grid Table 4 - Accent 52"/>
    <w:basedOn w:val="TableNormal"/>
    <w:next w:val="GridTable4-Accent5"/>
    <w:uiPriority w:val="49"/>
    <w:rsid w:val="0057062A"/>
    <w:pPr>
      <w:spacing w:after="0" w:line="240" w:lineRule="auto"/>
    </w:pPr>
    <w:tblPr>
      <w:tblStyleRowBandSize w:val="1"/>
      <w:tblStyleColBandSize w:val="1"/>
      <w:tblBorders>
        <w:top w:val="single" w:sz="4" w:space="0" w:color="A6CDA6"/>
        <w:left w:val="single" w:sz="4" w:space="0" w:color="A6CDA6"/>
        <w:bottom w:val="single" w:sz="4" w:space="0" w:color="A6CDA6"/>
        <w:right w:val="single" w:sz="4" w:space="0" w:color="A6CDA6"/>
        <w:insideH w:val="single" w:sz="4" w:space="0" w:color="A6CDA6"/>
        <w:insideV w:val="single" w:sz="4" w:space="0" w:color="A6CDA6"/>
      </w:tblBorders>
    </w:tblPr>
    <w:tblStylePr w:type="firstRow">
      <w:rPr>
        <w:b/>
        <w:bCs/>
        <w:color w:val="FFFFFF"/>
      </w:rPr>
      <w:tblPr/>
      <w:tcPr>
        <w:tcBorders>
          <w:top w:val="single" w:sz="4" w:space="0" w:color="6CAD6C"/>
          <w:left w:val="single" w:sz="4" w:space="0" w:color="6CAD6C"/>
          <w:bottom w:val="single" w:sz="4" w:space="0" w:color="6CAD6C"/>
          <w:right w:val="single" w:sz="4" w:space="0" w:color="6CAD6C"/>
          <w:insideH w:val="nil"/>
          <w:insideV w:val="nil"/>
        </w:tcBorders>
        <w:shd w:val="clear" w:color="auto" w:fill="6CAD6C"/>
      </w:tcPr>
    </w:tblStylePr>
    <w:tblStylePr w:type="lastRow">
      <w:rPr>
        <w:b/>
        <w:bCs/>
      </w:rPr>
      <w:tblPr/>
      <w:tcPr>
        <w:tcBorders>
          <w:top w:val="double" w:sz="4" w:space="0" w:color="6CAD6C"/>
        </w:tcBorders>
      </w:tcPr>
    </w:tblStylePr>
    <w:tblStylePr w:type="firstCol">
      <w:rPr>
        <w:b/>
        <w:bCs/>
      </w:rPr>
    </w:tblStylePr>
    <w:tblStylePr w:type="lastCol">
      <w:rPr>
        <w:b/>
        <w:bCs/>
      </w:rPr>
    </w:tblStylePr>
    <w:tblStylePr w:type="band1Vert">
      <w:tblPr/>
      <w:tcPr>
        <w:shd w:val="clear" w:color="auto" w:fill="E1EEE1"/>
      </w:tcPr>
    </w:tblStylePr>
    <w:tblStylePr w:type="band1Horz">
      <w:tblPr/>
      <w:tcPr>
        <w:shd w:val="clear" w:color="auto" w:fill="E1EEE1"/>
      </w:tcPr>
    </w:tblStylePr>
  </w:style>
  <w:style w:type="table" w:customStyle="1" w:styleId="GridTable4-Accent62">
    <w:name w:val="Grid Table 4 - Accent 62"/>
    <w:basedOn w:val="TableNormal"/>
    <w:next w:val="GridTable4-Accent6"/>
    <w:uiPriority w:val="49"/>
    <w:rsid w:val="0057062A"/>
    <w:pPr>
      <w:spacing w:after="0" w:line="240" w:lineRule="auto"/>
    </w:pPr>
    <w:tblPr>
      <w:tblStyleRowBandSize w:val="1"/>
      <w:tblStyleColBandSize w:val="1"/>
      <w:tblBorders>
        <w:top w:val="single" w:sz="4" w:space="0" w:color="E27187"/>
        <w:left w:val="single" w:sz="4" w:space="0" w:color="E27187"/>
        <w:bottom w:val="single" w:sz="4" w:space="0" w:color="E27187"/>
        <w:right w:val="single" w:sz="4" w:space="0" w:color="E27187"/>
        <w:insideH w:val="single" w:sz="4" w:space="0" w:color="E27187"/>
        <w:insideV w:val="single" w:sz="4" w:space="0" w:color="E27187"/>
      </w:tblBorders>
    </w:tblPr>
    <w:tblStylePr w:type="firstRow">
      <w:rPr>
        <w:b/>
        <w:bCs/>
        <w:color w:val="FFFFFF"/>
      </w:rPr>
      <w:tblPr/>
      <w:tcPr>
        <w:tcBorders>
          <w:top w:val="single" w:sz="4" w:space="0" w:color="BD2644"/>
          <w:left w:val="single" w:sz="4" w:space="0" w:color="BD2644"/>
          <w:bottom w:val="single" w:sz="4" w:space="0" w:color="BD2644"/>
          <w:right w:val="single" w:sz="4" w:space="0" w:color="BD2644"/>
          <w:insideH w:val="nil"/>
          <w:insideV w:val="nil"/>
        </w:tcBorders>
        <w:shd w:val="clear" w:color="auto" w:fill="BD2644"/>
      </w:tcPr>
    </w:tblStylePr>
    <w:tblStylePr w:type="lastRow">
      <w:rPr>
        <w:b/>
        <w:bCs/>
      </w:rPr>
      <w:tblPr/>
      <w:tcPr>
        <w:tcBorders>
          <w:top w:val="double" w:sz="4" w:space="0" w:color="BD2644"/>
        </w:tcBorders>
      </w:tcPr>
    </w:tblStylePr>
    <w:tblStylePr w:type="firstCol">
      <w:rPr>
        <w:b/>
        <w:bCs/>
      </w:rPr>
    </w:tblStylePr>
    <w:tblStylePr w:type="lastCol">
      <w:rPr>
        <w:b/>
        <w:bCs/>
      </w:rPr>
    </w:tblStylePr>
    <w:tblStylePr w:type="band1Vert">
      <w:tblPr/>
      <w:tcPr>
        <w:shd w:val="clear" w:color="auto" w:fill="F5CFD7"/>
      </w:tcPr>
    </w:tblStylePr>
    <w:tblStylePr w:type="band1Horz">
      <w:tblPr/>
      <w:tcPr>
        <w:shd w:val="clear" w:color="auto" w:fill="F5CFD7"/>
      </w:tcPr>
    </w:tblStylePr>
  </w:style>
  <w:style w:type="table" w:customStyle="1" w:styleId="GridTable5Dark2">
    <w:name w:val="Grid Table 5 Dark2"/>
    <w:basedOn w:val="TableNormal"/>
    <w:next w:val="GridTable5Dark"/>
    <w:uiPriority w:val="50"/>
    <w:rsid w:val="0057062A"/>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2">
    <w:name w:val="Grid Table 5 Dark - Accent 12"/>
    <w:basedOn w:val="TableNormal"/>
    <w:next w:val="GridTable5Dark-Accent1"/>
    <w:uiPriority w:val="50"/>
    <w:rsid w:val="0057062A"/>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4FEF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2847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2847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2847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2847D"/>
      </w:tcPr>
    </w:tblStylePr>
    <w:tblStylePr w:type="band1Vert">
      <w:tblPr/>
      <w:tcPr>
        <w:shd w:val="clear" w:color="auto" w:fill="6AFCF4"/>
      </w:tcPr>
    </w:tblStylePr>
    <w:tblStylePr w:type="band1Horz">
      <w:tblPr/>
      <w:tcPr>
        <w:shd w:val="clear" w:color="auto" w:fill="6AFCF4"/>
      </w:tcPr>
    </w:tblStylePr>
  </w:style>
  <w:style w:type="table" w:customStyle="1" w:styleId="GridTable5Dark-Accent22">
    <w:name w:val="Grid Table 5 Dark - Accent 22"/>
    <w:basedOn w:val="TableNormal"/>
    <w:next w:val="GridTable5Dark-Accent2"/>
    <w:uiPriority w:val="50"/>
    <w:rsid w:val="0057062A"/>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CE1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36E4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36E4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36E4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36E44"/>
      </w:tcPr>
    </w:tblStylePr>
    <w:tblStylePr w:type="band1Vert">
      <w:tblPr/>
      <w:tcPr>
        <w:shd w:val="clear" w:color="auto" w:fill="FAC4B4"/>
      </w:tcPr>
    </w:tblStylePr>
    <w:tblStylePr w:type="band1Horz">
      <w:tblPr/>
      <w:tcPr>
        <w:shd w:val="clear" w:color="auto" w:fill="FAC4B4"/>
      </w:tcPr>
    </w:tblStylePr>
  </w:style>
  <w:style w:type="table" w:customStyle="1" w:styleId="GridTable5Dark-Accent32">
    <w:name w:val="Grid Table 5 Dark - Accent 32"/>
    <w:basedOn w:val="TableNormal"/>
    <w:next w:val="GridTable5Dark-Accent3"/>
    <w:uiPriority w:val="50"/>
    <w:rsid w:val="0057062A"/>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F1F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9BDB8"/>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9BDB8"/>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9BDB8"/>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9BDB8"/>
      </w:tcPr>
    </w:tblStylePr>
    <w:tblStylePr w:type="band1Vert">
      <w:tblPr/>
      <w:tcPr>
        <w:shd w:val="clear" w:color="auto" w:fill="BCE4E2"/>
      </w:tcPr>
    </w:tblStylePr>
    <w:tblStylePr w:type="band1Horz">
      <w:tblPr/>
      <w:tcPr>
        <w:shd w:val="clear" w:color="auto" w:fill="BCE4E2"/>
      </w:tcPr>
    </w:tblStylePr>
  </w:style>
  <w:style w:type="table" w:customStyle="1" w:styleId="GridTable5Dark-Accent42">
    <w:name w:val="Grid Table 5 Dark - Accent 42"/>
    <w:basedOn w:val="TableNormal"/>
    <w:next w:val="GridTable5Dark-Accent4"/>
    <w:uiPriority w:val="50"/>
    <w:rsid w:val="0057062A"/>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EF0D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DB93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DB93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DB93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DB933"/>
      </w:tcPr>
    </w:tblStylePr>
    <w:tblStylePr w:type="band1Vert">
      <w:tblPr/>
      <w:tcPr>
        <w:shd w:val="clear" w:color="auto" w:fill="FEE2AD"/>
      </w:tcPr>
    </w:tblStylePr>
    <w:tblStylePr w:type="band1Horz">
      <w:tblPr/>
      <w:tcPr>
        <w:shd w:val="clear" w:color="auto" w:fill="FEE2AD"/>
      </w:tcPr>
    </w:tblStylePr>
  </w:style>
  <w:style w:type="table" w:customStyle="1" w:styleId="GridTable5Dark-Accent52">
    <w:name w:val="Grid Table 5 Dark - Accent 52"/>
    <w:basedOn w:val="TableNormal"/>
    <w:next w:val="GridTable5Dark-Accent5"/>
    <w:uiPriority w:val="50"/>
    <w:rsid w:val="0057062A"/>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1EEE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6CAD6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6CAD6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6CAD6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6CAD6C"/>
      </w:tcPr>
    </w:tblStylePr>
    <w:tblStylePr w:type="band1Vert">
      <w:tblPr/>
      <w:tcPr>
        <w:shd w:val="clear" w:color="auto" w:fill="C4DEC4"/>
      </w:tcPr>
    </w:tblStylePr>
    <w:tblStylePr w:type="band1Horz">
      <w:tblPr/>
      <w:tcPr>
        <w:shd w:val="clear" w:color="auto" w:fill="C4DEC4"/>
      </w:tcPr>
    </w:tblStylePr>
  </w:style>
  <w:style w:type="table" w:customStyle="1" w:styleId="GridTable5Dark-Accent62">
    <w:name w:val="Grid Table 5 Dark - Accent 62"/>
    <w:basedOn w:val="TableNormal"/>
    <w:next w:val="GridTable5Dark-Accent6"/>
    <w:uiPriority w:val="50"/>
    <w:rsid w:val="0057062A"/>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5CFD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BD264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BD264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BD264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BD2644"/>
      </w:tcPr>
    </w:tblStylePr>
    <w:tblStylePr w:type="band1Vert">
      <w:tblPr/>
      <w:tcPr>
        <w:shd w:val="clear" w:color="auto" w:fill="ECA0AF"/>
      </w:tcPr>
    </w:tblStylePr>
    <w:tblStylePr w:type="band1Horz">
      <w:tblPr/>
      <w:tcPr>
        <w:shd w:val="clear" w:color="auto" w:fill="ECA0AF"/>
      </w:tcPr>
    </w:tblStylePr>
  </w:style>
  <w:style w:type="table" w:customStyle="1" w:styleId="GridTable6Colorful2">
    <w:name w:val="Grid Table 6 Colorful2"/>
    <w:basedOn w:val="TableNormal"/>
    <w:next w:val="GridTable6Colorful"/>
    <w:uiPriority w:val="51"/>
    <w:rsid w:val="0057062A"/>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2">
    <w:name w:val="Grid Table 6 Colorful - Accent 12"/>
    <w:basedOn w:val="TableNormal"/>
    <w:next w:val="GridTable6Colorful-Accent1"/>
    <w:uiPriority w:val="51"/>
    <w:rsid w:val="0057062A"/>
    <w:pPr>
      <w:spacing w:after="0" w:line="240" w:lineRule="auto"/>
    </w:pPr>
    <w:rPr>
      <w:color w:val="01625D"/>
    </w:rPr>
    <w:tblPr>
      <w:tblStyleRowBandSize w:val="1"/>
      <w:tblStyleColBandSize w:val="1"/>
      <w:tblBorders>
        <w:top w:val="single" w:sz="4" w:space="0" w:color="20FBEF"/>
        <w:left w:val="single" w:sz="4" w:space="0" w:color="20FBEF"/>
        <w:bottom w:val="single" w:sz="4" w:space="0" w:color="20FBEF"/>
        <w:right w:val="single" w:sz="4" w:space="0" w:color="20FBEF"/>
        <w:insideH w:val="single" w:sz="4" w:space="0" w:color="20FBEF"/>
        <w:insideV w:val="single" w:sz="4" w:space="0" w:color="20FBEF"/>
      </w:tblBorders>
    </w:tblPr>
    <w:tblStylePr w:type="firstRow">
      <w:rPr>
        <w:b/>
        <w:bCs/>
      </w:rPr>
      <w:tblPr/>
      <w:tcPr>
        <w:tcBorders>
          <w:bottom w:val="single" w:sz="12" w:space="0" w:color="20FBEF"/>
        </w:tcBorders>
      </w:tcPr>
    </w:tblStylePr>
    <w:tblStylePr w:type="lastRow">
      <w:rPr>
        <w:b/>
        <w:bCs/>
      </w:rPr>
      <w:tblPr/>
      <w:tcPr>
        <w:tcBorders>
          <w:top w:val="double" w:sz="4" w:space="0" w:color="20FBEF"/>
        </w:tcBorders>
      </w:tcPr>
    </w:tblStylePr>
    <w:tblStylePr w:type="firstCol">
      <w:rPr>
        <w:b/>
        <w:bCs/>
      </w:rPr>
    </w:tblStylePr>
    <w:tblStylePr w:type="lastCol">
      <w:rPr>
        <w:b/>
        <w:bCs/>
      </w:rPr>
    </w:tblStylePr>
    <w:tblStylePr w:type="band1Vert">
      <w:tblPr/>
      <w:tcPr>
        <w:shd w:val="clear" w:color="auto" w:fill="B4FEF9"/>
      </w:tcPr>
    </w:tblStylePr>
    <w:tblStylePr w:type="band1Horz">
      <w:tblPr/>
      <w:tcPr>
        <w:shd w:val="clear" w:color="auto" w:fill="B4FEF9"/>
      </w:tcPr>
    </w:tblStylePr>
  </w:style>
  <w:style w:type="table" w:customStyle="1" w:styleId="GridTable6Colorful-Accent22">
    <w:name w:val="Grid Table 6 Colorful - Accent 22"/>
    <w:basedOn w:val="TableNormal"/>
    <w:next w:val="GridTable6Colorful-Accent2"/>
    <w:uiPriority w:val="51"/>
    <w:rsid w:val="0057062A"/>
    <w:pPr>
      <w:spacing w:after="0" w:line="240" w:lineRule="auto"/>
    </w:pPr>
    <w:rPr>
      <w:color w:val="DA3F0E"/>
    </w:rPr>
    <w:tblPr>
      <w:tblStyleRowBandSize w:val="1"/>
      <w:tblStyleColBandSize w:val="1"/>
      <w:tblBorders>
        <w:top w:val="single" w:sz="4" w:space="0" w:color="F7A78E"/>
        <w:left w:val="single" w:sz="4" w:space="0" w:color="F7A78E"/>
        <w:bottom w:val="single" w:sz="4" w:space="0" w:color="F7A78E"/>
        <w:right w:val="single" w:sz="4" w:space="0" w:color="F7A78E"/>
        <w:insideH w:val="single" w:sz="4" w:space="0" w:color="F7A78E"/>
        <w:insideV w:val="single" w:sz="4" w:space="0" w:color="F7A78E"/>
      </w:tblBorders>
    </w:tblPr>
    <w:tblStylePr w:type="firstRow">
      <w:rPr>
        <w:b/>
        <w:bCs/>
      </w:rPr>
      <w:tblPr/>
      <w:tcPr>
        <w:tcBorders>
          <w:bottom w:val="single" w:sz="12" w:space="0" w:color="F7A78E"/>
        </w:tcBorders>
      </w:tcPr>
    </w:tblStylePr>
    <w:tblStylePr w:type="lastRow">
      <w:rPr>
        <w:b/>
        <w:bCs/>
      </w:rPr>
      <w:tblPr/>
      <w:tcPr>
        <w:tcBorders>
          <w:top w:val="double" w:sz="4" w:space="0" w:color="F7A78E"/>
        </w:tcBorders>
      </w:tcPr>
    </w:tblStylePr>
    <w:tblStylePr w:type="firstCol">
      <w:rPr>
        <w:b/>
        <w:bCs/>
      </w:rPr>
    </w:tblStylePr>
    <w:tblStylePr w:type="lastCol">
      <w:rPr>
        <w:b/>
        <w:bCs/>
      </w:rPr>
    </w:tblStylePr>
    <w:tblStylePr w:type="band1Vert">
      <w:tblPr/>
      <w:tcPr>
        <w:shd w:val="clear" w:color="auto" w:fill="FCE1D9"/>
      </w:tcPr>
    </w:tblStylePr>
    <w:tblStylePr w:type="band1Horz">
      <w:tblPr/>
      <w:tcPr>
        <w:shd w:val="clear" w:color="auto" w:fill="FCE1D9"/>
      </w:tcPr>
    </w:tblStylePr>
  </w:style>
  <w:style w:type="table" w:customStyle="1" w:styleId="GridTable6Colorful-Accent32">
    <w:name w:val="Grid Table 6 Colorful - Accent 32"/>
    <w:basedOn w:val="TableNormal"/>
    <w:next w:val="GridTable6Colorful-Accent3"/>
    <w:uiPriority w:val="51"/>
    <w:rsid w:val="0057062A"/>
    <w:pPr>
      <w:spacing w:after="0" w:line="240" w:lineRule="auto"/>
    </w:pPr>
    <w:rPr>
      <w:color w:val="3B9490"/>
    </w:rPr>
    <w:tblPr>
      <w:tblStyleRowBandSize w:val="1"/>
      <w:tblStyleColBandSize w:val="1"/>
      <w:tblBorders>
        <w:top w:val="single" w:sz="4" w:space="0" w:color="9BD7D4"/>
        <w:left w:val="single" w:sz="4" w:space="0" w:color="9BD7D4"/>
        <w:bottom w:val="single" w:sz="4" w:space="0" w:color="9BD7D4"/>
        <w:right w:val="single" w:sz="4" w:space="0" w:color="9BD7D4"/>
        <w:insideH w:val="single" w:sz="4" w:space="0" w:color="9BD7D4"/>
        <w:insideV w:val="single" w:sz="4" w:space="0" w:color="9BD7D4"/>
      </w:tblBorders>
    </w:tblPr>
    <w:tblStylePr w:type="firstRow">
      <w:rPr>
        <w:b/>
        <w:bCs/>
      </w:rPr>
      <w:tblPr/>
      <w:tcPr>
        <w:tcBorders>
          <w:bottom w:val="single" w:sz="12" w:space="0" w:color="9BD7D4"/>
        </w:tcBorders>
      </w:tcPr>
    </w:tblStylePr>
    <w:tblStylePr w:type="lastRow">
      <w:rPr>
        <w:b/>
        <w:bCs/>
      </w:rPr>
      <w:tblPr/>
      <w:tcPr>
        <w:tcBorders>
          <w:top w:val="double" w:sz="4" w:space="0" w:color="9BD7D4"/>
        </w:tcBorders>
      </w:tcPr>
    </w:tblStylePr>
    <w:tblStylePr w:type="firstCol">
      <w:rPr>
        <w:b/>
        <w:bCs/>
      </w:rPr>
    </w:tblStylePr>
    <w:tblStylePr w:type="lastCol">
      <w:rPr>
        <w:b/>
        <w:bCs/>
      </w:rPr>
    </w:tblStylePr>
    <w:tblStylePr w:type="band1Vert">
      <w:tblPr/>
      <w:tcPr>
        <w:shd w:val="clear" w:color="auto" w:fill="DDF1F0"/>
      </w:tcPr>
    </w:tblStylePr>
    <w:tblStylePr w:type="band1Horz">
      <w:tblPr/>
      <w:tcPr>
        <w:shd w:val="clear" w:color="auto" w:fill="DDF1F0"/>
      </w:tcPr>
    </w:tblStylePr>
  </w:style>
  <w:style w:type="table" w:customStyle="1" w:styleId="GridTable6Colorful-Accent42">
    <w:name w:val="Grid Table 6 Colorful - Accent 42"/>
    <w:basedOn w:val="TableNormal"/>
    <w:next w:val="GridTable6Colorful-Accent4"/>
    <w:uiPriority w:val="51"/>
    <w:rsid w:val="0057062A"/>
    <w:pPr>
      <w:spacing w:after="0" w:line="240" w:lineRule="auto"/>
    </w:pPr>
    <w:rPr>
      <w:color w:val="E19602"/>
    </w:rPr>
    <w:tblPr>
      <w:tblStyleRowBandSize w:val="1"/>
      <w:tblStyleColBandSize w:val="1"/>
      <w:tblBorders>
        <w:top w:val="single" w:sz="4" w:space="0" w:color="FDD484"/>
        <w:left w:val="single" w:sz="4" w:space="0" w:color="FDD484"/>
        <w:bottom w:val="single" w:sz="4" w:space="0" w:color="FDD484"/>
        <w:right w:val="single" w:sz="4" w:space="0" w:color="FDD484"/>
        <w:insideH w:val="single" w:sz="4" w:space="0" w:color="FDD484"/>
        <w:insideV w:val="single" w:sz="4" w:space="0" w:color="FDD484"/>
      </w:tblBorders>
    </w:tblPr>
    <w:tblStylePr w:type="firstRow">
      <w:rPr>
        <w:b/>
        <w:bCs/>
      </w:rPr>
      <w:tblPr/>
      <w:tcPr>
        <w:tcBorders>
          <w:bottom w:val="single" w:sz="12" w:space="0" w:color="FDD484"/>
        </w:tcBorders>
      </w:tcPr>
    </w:tblStylePr>
    <w:tblStylePr w:type="lastRow">
      <w:rPr>
        <w:b/>
        <w:bCs/>
      </w:rPr>
      <w:tblPr/>
      <w:tcPr>
        <w:tcBorders>
          <w:top w:val="double" w:sz="4" w:space="0" w:color="FDD484"/>
        </w:tcBorders>
      </w:tcPr>
    </w:tblStylePr>
    <w:tblStylePr w:type="firstCol">
      <w:rPr>
        <w:b/>
        <w:bCs/>
      </w:rPr>
    </w:tblStylePr>
    <w:tblStylePr w:type="lastCol">
      <w:rPr>
        <w:b/>
        <w:bCs/>
      </w:rPr>
    </w:tblStylePr>
    <w:tblStylePr w:type="band1Vert">
      <w:tblPr/>
      <w:tcPr>
        <w:shd w:val="clear" w:color="auto" w:fill="FEF0D6"/>
      </w:tcPr>
    </w:tblStylePr>
    <w:tblStylePr w:type="band1Horz">
      <w:tblPr/>
      <w:tcPr>
        <w:shd w:val="clear" w:color="auto" w:fill="FEF0D6"/>
      </w:tcPr>
    </w:tblStylePr>
  </w:style>
  <w:style w:type="table" w:customStyle="1" w:styleId="GridTable6Colorful-Accent52">
    <w:name w:val="Grid Table 6 Colorful - Accent 52"/>
    <w:basedOn w:val="TableNormal"/>
    <w:next w:val="GridTable6Colorful-Accent5"/>
    <w:uiPriority w:val="51"/>
    <w:rsid w:val="0057062A"/>
    <w:pPr>
      <w:spacing w:after="0" w:line="240" w:lineRule="auto"/>
    </w:pPr>
    <w:rPr>
      <w:color w:val="4B864B"/>
    </w:rPr>
    <w:tblPr>
      <w:tblStyleRowBandSize w:val="1"/>
      <w:tblStyleColBandSize w:val="1"/>
      <w:tblBorders>
        <w:top w:val="single" w:sz="4" w:space="0" w:color="A6CDA6"/>
        <w:left w:val="single" w:sz="4" w:space="0" w:color="A6CDA6"/>
        <w:bottom w:val="single" w:sz="4" w:space="0" w:color="A6CDA6"/>
        <w:right w:val="single" w:sz="4" w:space="0" w:color="A6CDA6"/>
        <w:insideH w:val="single" w:sz="4" w:space="0" w:color="A6CDA6"/>
        <w:insideV w:val="single" w:sz="4" w:space="0" w:color="A6CDA6"/>
      </w:tblBorders>
    </w:tblPr>
    <w:tblStylePr w:type="firstRow">
      <w:rPr>
        <w:b/>
        <w:bCs/>
      </w:rPr>
      <w:tblPr/>
      <w:tcPr>
        <w:tcBorders>
          <w:bottom w:val="single" w:sz="12" w:space="0" w:color="A6CDA6"/>
        </w:tcBorders>
      </w:tcPr>
    </w:tblStylePr>
    <w:tblStylePr w:type="lastRow">
      <w:rPr>
        <w:b/>
        <w:bCs/>
      </w:rPr>
      <w:tblPr/>
      <w:tcPr>
        <w:tcBorders>
          <w:top w:val="double" w:sz="4" w:space="0" w:color="A6CDA6"/>
        </w:tcBorders>
      </w:tcPr>
    </w:tblStylePr>
    <w:tblStylePr w:type="firstCol">
      <w:rPr>
        <w:b/>
        <w:bCs/>
      </w:rPr>
    </w:tblStylePr>
    <w:tblStylePr w:type="lastCol">
      <w:rPr>
        <w:b/>
        <w:bCs/>
      </w:rPr>
    </w:tblStylePr>
    <w:tblStylePr w:type="band1Vert">
      <w:tblPr/>
      <w:tcPr>
        <w:shd w:val="clear" w:color="auto" w:fill="E1EEE1"/>
      </w:tcPr>
    </w:tblStylePr>
    <w:tblStylePr w:type="band1Horz">
      <w:tblPr/>
      <w:tcPr>
        <w:shd w:val="clear" w:color="auto" w:fill="E1EEE1"/>
      </w:tcPr>
    </w:tblStylePr>
  </w:style>
  <w:style w:type="table" w:customStyle="1" w:styleId="GridTable6Colorful-Accent62">
    <w:name w:val="Grid Table 6 Colorful - Accent 62"/>
    <w:basedOn w:val="TableNormal"/>
    <w:next w:val="GridTable6Colorful-Accent6"/>
    <w:uiPriority w:val="51"/>
    <w:rsid w:val="0057062A"/>
    <w:pPr>
      <w:spacing w:after="0" w:line="240" w:lineRule="auto"/>
    </w:pPr>
    <w:rPr>
      <w:color w:val="8D1C32"/>
    </w:rPr>
    <w:tblPr>
      <w:tblStyleRowBandSize w:val="1"/>
      <w:tblStyleColBandSize w:val="1"/>
      <w:tblBorders>
        <w:top w:val="single" w:sz="4" w:space="0" w:color="E27187"/>
        <w:left w:val="single" w:sz="4" w:space="0" w:color="E27187"/>
        <w:bottom w:val="single" w:sz="4" w:space="0" w:color="E27187"/>
        <w:right w:val="single" w:sz="4" w:space="0" w:color="E27187"/>
        <w:insideH w:val="single" w:sz="4" w:space="0" w:color="E27187"/>
        <w:insideV w:val="single" w:sz="4" w:space="0" w:color="E27187"/>
      </w:tblBorders>
    </w:tblPr>
    <w:tblStylePr w:type="firstRow">
      <w:rPr>
        <w:b/>
        <w:bCs/>
      </w:rPr>
      <w:tblPr/>
      <w:tcPr>
        <w:tcBorders>
          <w:bottom w:val="single" w:sz="12" w:space="0" w:color="E27187"/>
        </w:tcBorders>
      </w:tcPr>
    </w:tblStylePr>
    <w:tblStylePr w:type="lastRow">
      <w:rPr>
        <w:b/>
        <w:bCs/>
      </w:rPr>
      <w:tblPr/>
      <w:tcPr>
        <w:tcBorders>
          <w:top w:val="double" w:sz="4" w:space="0" w:color="E27187"/>
        </w:tcBorders>
      </w:tcPr>
    </w:tblStylePr>
    <w:tblStylePr w:type="firstCol">
      <w:rPr>
        <w:b/>
        <w:bCs/>
      </w:rPr>
    </w:tblStylePr>
    <w:tblStylePr w:type="lastCol">
      <w:rPr>
        <w:b/>
        <w:bCs/>
      </w:rPr>
    </w:tblStylePr>
    <w:tblStylePr w:type="band1Vert">
      <w:tblPr/>
      <w:tcPr>
        <w:shd w:val="clear" w:color="auto" w:fill="F5CFD7"/>
      </w:tcPr>
    </w:tblStylePr>
    <w:tblStylePr w:type="band1Horz">
      <w:tblPr/>
      <w:tcPr>
        <w:shd w:val="clear" w:color="auto" w:fill="F5CFD7"/>
      </w:tcPr>
    </w:tblStylePr>
  </w:style>
  <w:style w:type="table" w:customStyle="1" w:styleId="GridTable7Colorful2">
    <w:name w:val="Grid Table 7 Colorful2"/>
    <w:basedOn w:val="TableNormal"/>
    <w:next w:val="GridTable7Colorful"/>
    <w:uiPriority w:val="52"/>
    <w:rsid w:val="0057062A"/>
    <w:pPr>
      <w:spacing w:after="0" w:line="240" w:lineRule="auto"/>
    </w:pPr>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2">
    <w:name w:val="Grid Table 7 Colorful - Accent 12"/>
    <w:basedOn w:val="TableNormal"/>
    <w:next w:val="GridTable7Colorful-Accent1"/>
    <w:uiPriority w:val="52"/>
    <w:rsid w:val="0057062A"/>
    <w:pPr>
      <w:spacing w:after="0" w:line="240" w:lineRule="auto"/>
    </w:pPr>
    <w:rPr>
      <w:color w:val="01625D"/>
    </w:rPr>
    <w:tblPr>
      <w:tblStyleRowBandSize w:val="1"/>
      <w:tblStyleColBandSize w:val="1"/>
      <w:tblBorders>
        <w:top w:val="single" w:sz="4" w:space="0" w:color="20FBEF"/>
        <w:left w:val="single" w:sz="4" w:space="0" w:color="20FBEF"/>
        <w:bottom w:val="single" w:sz="4" w:space="0" w:color="20FBEF"/>
        <w:right w:val="single" w:sz="4" w:space="0" w:color="20FBEF"/>
        <w:insideH w:val="single" w:sz="4" w:space="0" w:color="20FBEF"/>
        <w:insideV w:val="single" w:sz="4" w:space="0" w:color="20FBE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4FEF9"/>
      </w:tcPr>
    </w:tblStylePr>
    <w:tblStylePr w:type="band1Horz">
      <w:tblPr/>
      <w:tcPr>
        <w:shd w:val="clear" w:color="auto" w:fill="B4FEF9"/>
      </w:tcPr>
    </w:tblStylePr>
    <w:tblStylePr w:type="neCell">
      <w:tblPr/>
      <w:tcPr>
        <w:tcBorders>
          <w:bottom w:val="single" w:sz="4" w:space="0" w:color="20FBEF"/>
        </w:tcBorders>
      </w:tcPr>
    </w:tblStylePr>
    <w:tblStylePr w:type="nwCell">
      <w:tblPr/>
      <w:tcPr>
        <w:tcBorders>
          <w:bottom w:val="single" w:sz="4" w:space="0" w:color="20FBEF"/>
        </w:tcBorders>
      </w:tcPr>
    </w:tblStylePr>
    <w:tblStylePr w:type="seCell">
      <w:tblPr/>
      <w:tcPr>
        <w:tcBorders>
          <w:top w:val="single" w:sz="4" w:space="0" w:color="20FBEF"/>
        </w:tcBorders>
      </w:tcPr>
    </w:tblStylePr>
    <w:tblStylePr w:type="swCell">
      <w:tblPr/>
      <w:tcPr>
        <w:tcBorders>
          <w:top w:val="single" w:sz="4" w:space="0" w:color="20FBEF"/>
        </w:tcBorders>
      </w:tcPr>
    </w:tblStylePr>
  </w:style>
  <w:style w:type="table" w:customStyle="1" w:styleId="GridTable7Colorful-Accent22">
    <w:name w:val="Grid Table 7 Colorful - Accent 22"/>
    <w:basedOn w:val="TableNormal"/>
    <w:next w:val="GridTable7Colorful-Accent2"/>
    <w:uiPriority w:val="52"/>
    <w:rsid w:val="0057062A"/>
    <w:pPr>
      <w:spacing w:after="0" w:line="240" w:lineRule="auto"/>
    </w:pPr>
    <w:rPr>
      <w:color w:val="DA3F0E"/>
    </w:rPr>
    <w:tblPr>
      <w:tblStyleRowBandSize w:val="1"/>
      <w:tblStyleColBandSize w:val="1"/>
      <w:tblBorders>
        <w:top w:val="single" w:sz="4" w:space="0" w:color="F7A78E"/>
        <w:left w:val="single" w:sz="4" w:space="0" w:color="F7A78E"/>
        <w:bottom w:val="single" w:sz="4" w:space="0" w:color="F7A78E"/>
        <w:right w:val="single" w:sz="4" w:space="0" w:color="F7A78E"/>
        <w:insideH w:val="single" w:sz="4" w:space="0" w:color="F7A78E"/>
        <w:insideV w:val="single" w:sz="4" w:space="0" w:color="F7A78E"/>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CE1D9"/>
      </w:tcPr>
    </w:tblStylePr>
    <w:tblStylePr w:type="band1Horz">
      <w:tblPr/>
      <w:tcPr>
        <w:shd w:val="clear" w:color="auto" w:fill="FCE1D9"/>
      </w:tcPr>
    </w:tblStylePr>
    <w:tblStylePr w:type="neCell">
      <w:tblPr/>
      <w:tcPr>
        <w:tcBorders>
          <w:bottom w:val="single" w:sz="4" w:space="0" w:color="F7A78E"/>
        </w:tcBorders>
      </w:tcPr>
    </w:tblStylePr>
    <w:tblStylePr w:type="nwCell">
      <w:tblPr/>
      <w:tcPr>
        <w:tcBorders>
          <w:bottom w:val="single" w:sz="4" w:space="0" w:color="F7A78E"/>
        </w:tcBorders>
      </w:tcPr>
    </w:tblStylePr>
    <w:tblStylePr w:type="seCell">
      <w:tblPr/>
      <w:tcPr>
        <w:tcBorders>
          <w:top w:val="single" w:sz="4" w:space="0" w:color="F7A78E"/>
        </w:tcBorders>
      </w:tcPr>
    </w:tblStylePr>
    <w:tblStylePr w:type="swCell">
      <w:tblPr/>
      <w:tcPr>
        <w:tcBorders>
          <w:top w:val="single" w:sz="4" w:space="0" w:color="F7A78E"/>
        </w:tcBorders>
      </w:tcPr>
    </w:tblStylePr>
  </w:style>
  <w:style w:type="table" w:customStyle="1" w:styleId="GridTable7Colorful-Accent32">
    <w:name w:val="Grid Table 7 Colorful - Accent 32"/>
    <w:basedOn w:val="TableNormal"/>
    <w:next w:val="GridTable7Colorful-Accent3"/>
    <w:uiPriority w:val="52"/>
    <w:rsid w:val="0057062A"/>
    <w:pPr>
      <w:spacing w:after="0" w:line="240" w:lineRule="auto"/>
    </w:pPr>
    <w:rPr>
      <w:color w:val="3B9490"/>
    </w:rPr>
    <w:tblPr>
      <w:tblStyleRowBandSize w:val="1"/>
      <w:tblStyleColBandSize w:val="1"/>
      <w:tblBorders>
        <w:top w:val="single" w:sz="4" w:space="0" w:color="9BD7D4"/>
        <w:left w:val="single" w:sz="4" w:space="0" w:color="9BD7D4"/>
        <w:bottom w:val="single" w:sz="4" w:space="0" w:color="9BD7D4"/>
        <w:right w:val="single" w:sz="4" w:space="0" w:color="9BD7D4"/>
        <w:insideH w:val="single" w:sz="4" w:space="0" w:color="9BD7D4"/>
        <w:insideV w:val="single" w:sz="4" w:space="0" w:color="9BD7D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DF1F0"/>
      </w:tcPr>
    </w:tblStylePr>
    <w:tblStylePr w:type="band1Horz">
      <w:tblPr/>
      <w:tcPr>
        <w:shd w:val="clear" w:color="auto" w:fill="DDF1F0"/>
      </w:tcPr>
    </w:tblStylePr>
    <w:tblStylePr w:type="neCell">
      <w:tblPr/>
      <w:tcPr>
        <w:tcBorders>
          <w:bottom w:val="single" w:sz="4" w:space="0" w:color="9BD7D4"/>
        </w:tcBorders>
      </w:tcPr>
    </w:tblStylePr>
    <w:tblStylePr w:type="nwCell">
      <w:tblPr/>
      <w:tcPr>
        <w:tcBorders>
          <w:bottom w:val="single" w:sz="4" w:space="0" w:color="9BD7D4"/>
        </w:tcBorders>
      </w:tcPr>
    </w:tblStylePr>
    <w:tblStylePr w:type="seCell">
      <w:tblPr/>
      <w:tcPr>
        <w:tcBorders>
          <w:top w:val="single" w:sz="4" w:space="0" w:color="9BD7D4"/>
        </w:tcBorders>
      </w:tcPr>
    </w:tblStylePr>
    <w:tblStylePr w:type="swCell">
      <w:tblPr/>
      <w:tcPr>
        <w:tcBorders>
          <w:top w:val="single" w:sz="4" w:space="0" w:color="9BD7D4"/>
        </w:tcBorders>
      </w:tcPr>
    </w:tblStylePr>
  </w:style>
  <w:style w:type="table" w:customStyle="1" w:styleId="GridTable7Colorful-Accent42">
    <w:name w:val="Grid Table 7 Colorful - Accent 42"/>
    <w:basedOn w:val="TableNormal"/>
    <w:next w:val="GridTable7Colorful-Accent4"/>
    <w:uiPriority w:val="52"/>
    <w:rsid w:val="0057062A"/>
    <w:pPr>
      <w:spacing w:after="0" w:line="240" w:lineRule="auto"/>
    </w:pPr>
    <w:rPr>
      <w:color w:val="E19602"/>
    </w:rPr>
    <w:tblPr>
      <w:tblStyleRowBandSize w:val="1"/>
      <w:tblStyleColBandSize w:val="1"/>
      <w:tblBorders>
        <w:top w:val="single" w:sz="4" w:space="0" w:color="FDD484"/>
        <w:left w:val="single" w:sz="4" w:space="0" w:color="FDD484"/>
        <w:bottom w:val="single" w:sz="4" w:space="0" w:color="FDD484"/>
        <w:right w:val="single" w:sz="4" w:space="0" w:color="FDD484"/>
        <w:insideH w:val="single" w:sz="4" w:space="0" w:color="FDD484"/>
        <w:insideV w:val="single" w:sz="4" w:space="0" w:color="FDD48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EF0D6"/>
      </w:tcPr>
    </w:tblStylePr>
    <w:tblStylePr w:type="band1Horz">
      <w:tblPr/>
      <w:tcPr>
        <w:shd w:val="clear" w:color="auto" w:fill="FEF0D6"/>
      </w:tcPr>
    </w:tblStylePr>
    <w:tblStylePr w:type="neCell">
      <w:tblPr/>
      <w:tcPr>
        <w:tcBorders>
          <w:bottom w:val="single" w:sz="4" w:space="0" w:color="FDD484"/>
        </w:tcBorders>
      </w:tcPr>
    </w:tblStylePr>
    <w:tblStylePr w:type="nwCell">
      <w:tblPr/>
      <w:tcPr>
        <w:tcBorders>
          <w:bottom w:val="single" w:sz="4" w:space="0" w:color="FDD484"/>
        </w:tcBorders>
      </w:tcPr>
    </w:tblStylePr>
    <w:tblStylePr w:type="seCell">
      <w:tblPr/>
      <w:tcPr>
        <w:tcBorders>
          <w:top w:val="single" w:sz="4" w:space="0" w:color="FDD484"/>
        </w:tcBorders>
      </w:tcPr>
    </w:tblStylePr>
    <w:tblStylePr w:type="swCell">
      <w:tblPr/>
      <w:tcPr>
        <w:tcBorders>
          <w:top w:val="single" w:sz="4" w:space="0" w:color="FDD484"/>
        </w:tcBorders>
      </w:tcPr>
    </w:tblStylePr>
  </w:style>
  <w:style w:type="table" w:customStyle="1" w:styleId="GridTable7Colorful-Accent52">
    <w:name w:val="Grid Table 7 Colorful - Accent 52"/>
    <w:basedOn w:val="TableNormal"/>
    <w:next w:val="GridTable7Colorful-Accent5"/>
    <w:uiPriority w:val="52"/>
    <w:rsid w:val="0057062A"/>
    <w:pPr>
      <w:spacing w:after="0" w:line="240" w:lineRule="auto"/>
    </w:pPr>
    <w:rPr>
      <w:color w:val="4B864B"/>
    </w:rPr>
    <w:tblPr>
      <w:tblStyleRowBandSize w:val="1"/>
      <w:tblStyleColBandSize w:val="1"/>
      <w:tblBorders>
        <w:top w:val="single" w:sz="4" w:space="0" w:color="A6CDA6"/>
        <w:left w:val="single" w:sz="4" w:space="0" w:color="A6CDA6"/>
        <w:bottom w:val="single" w:sz="4" w:space="0" w:color="A6CDA6"/>
        <w:right w:val="single" w:sz="4" w:space="0" w:color="A6CDA6"/>
        <w:insideH w:val="single" w:sz="4" w:space="0" w:color="A6CDA6"/>
        <w:insideV w:val="single" w:sz="4" w:space="0" w:color="A6CDA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1EEE1"/>
      </w:tcPr>
    </w:tblStylePr>
    <w:tblStylePr w:type="band1Horz">
      <w:tblPr/>
      <w:tcPr>
        <w:shd w:val="clear" w:color="auto" w:fill="E1EEE1"/>
      </w:tcPr>
    </w:tblStylePr>
    <w:tblStylePr w:type="neCell">
      <w:tblPr/>
      <w:tcPr>
        <w:tcBorders>
          <w:bottom w:val="single" w:sz="4" w:space="0" w:color="A6CDA6"/>
        </w:tcBorders>
      </w:tcPr>
    </w:tblStylePr>
    <w:tblStylePr w:type="nwCell">
      <w:tblPr/>
      <w:tcPr>
        <w:tcBorders>
          <w:bottom w:val="single" w:sz="4" w:space="0" w:color="A6CDA6"/>
        </w:tcBorders>
      </w:tcPr>
    </w:tblStylePr>
    <w:tblStylePr w:type="seCell">
      <w:tblPr/>
      <w:tcPr>
        <w:tcBorders>
          <w:top w:val="single" w:sz="4" w:space="0" w:color="A6CDA6"/>
        </w:tcBorders>
      </w:tcPr>
    </w:tblStylePr>
    <w:tblStylePr w:type="swCell">
      <w:tblPr/>
      <w:tcPr>
        <w:tcBorders>
          <w:top w:val="single" w:sz="4" w:space="0" w:color="A6CDA6"/>
        </w:tcBorders>
      </w:tcPr>
    </w:tblStylePr>
  </w:style>
  <w:style w:type="table" w:customStyle="1" w:styleId="GridTable7Colorful-Accent62">
    <w:name w:val="Grid Table 7 Colorful - Accent 62"/>
    <w:basedOn w:val="TableNormal"/>
    <w:next w:val="GridTable7Colorful-Accent6"/>
    <w:uiPriority w:val="52"/>
    <w:rsid w:val="0057062A"/>
    <w:pPr>
      <w:spacing w:after="0" w:line="240" w:lineRule="auto"/>
    </w:pPr>
    <w:rPr>
      <w:color w:val="8D1C32"/>
    </w:rPr>
    <w:tblPr>
      <w:tblStyleRowBandSize w:val="1"/>
      <w:tblStyleColBandSize w:val="1"/>
      <w:tblBorders>
        <w:top w:val="single" w:sz="4" w:space="0" w:color="E27187"/>
        <w:left w:val="single" w:sz="4" w:space="0" w:color="E27187"/>
        <w:bottom w:val="single" w:sz="4" w:space="0" w:color="E27187"/>
        <w:right w:val="single" w:sz="4" w:space="0" w:color="E27187"/>
        <w:insideH w:val="single" w:sz="4" w:space="0" w:color="E27187"/>
        <w:insideV w:val="single" w:sz="4" w:space="0" w:color="E2718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5CFD7"/>
      </w:tcPr>
    </w:tblStylePr>
    <w:tblStylePr w:type="band1Horz">
      <w:tblPr/>
      <w:tcPr>
        <w:shd w:val="clear" w:color="auto" w:fill="F5CFD7"/>
      </w:tcPr>
    </w:tblStylePr>
    <w:tblStylePr w:type="neCell">
      <w:tblPr/>
      <w:tcPr>
        <w:tcBorders>
          <w:bottom w:val="single" w:sz="4" w:space="0" w:color="E27187"/>
        </w:tcBorders>
      </w:tcPr>
    </w:tblStylePr>
    <w:tblStylePr w:type="nwCell">
      <w:tblPr/>
      <w:tcPr>
        <w:tcBorders>
          <w:bottom w:val="single" w:sz="4" w:space="0" w:color="E27187"/>
        </w:tcBorders>
      </w:tcPr>
    </w:tblStylePr>
    <w:tblStylePr w:type="seCell">
      <w:tblPr/>
      <w:tcPr>
        <w:tcBorders>
          <w:top w:val="single" w:sz="4" w:space="0" w:color="E27187"/>
        </w:tcBorders>
      </w:tcPr>
    </w:tblStylePr>
    <w:tblStylePr w:type="swCell">
      <w:tblPr/>
      <w:tcPr>
        <w:tcBorders>
          <w:top w:val="single" w:sz="4" w:space="0" w:color="E27187"/>
        </w:tcBorders>
      </w:tcPr>
    </w:tblStylePr>
  </w:style>
  <w:style w:type="table" w:customStyle="1" w:styleId="LightGrid2">
    <w:name w:val="Light Grid2"/>
    <w:basedOn w:val="TableNormal"/>
    <w:next w:val="LightGrid"/>
    <w:uiPriority w:val="62"/>
    <w:semiHidden/>
    <w:unhideWhenUsed/>
    <w:rsid w:val="0057062A"/>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Arial Narrow" w:hAnsi="Calibri Light" w:cs="Tung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Arial Narrow" w:hAnsi="Calibri Light" w:cs="Tung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Arial Narrow" w:hAnsi="Calibri Light" w:cs="Tunga"/>
        <w:b/>
        <w:bCs/>
      </w:rPr>
    </w:tblStylePr>
    <w:tblStylePr w:type="lastCol">
      <w:rPr>
        <w:rFonts w:ascii="Calibri Light" w:eastAsia="Arial Narrow" w:hAnsi="Calibri Light" w:cs="Tung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62"/>
    <w:semiHidden/>
    <w:unhideWhenUsed/>
    <w:rsid w:val="0057062A"/>
    <w:pPr>
      <w:spacing w:after="0" w:line="240" w:lineRule="auto"/>
    </w:pPr>
    <w:tblPr>
      <w:tblStyleRowBandSize w:val="1"/>
      <w:tblStyleColBandSize w:val="1"/>
      <w:tblBorders>
        <w:top w:val="single" w:sz="8" w:space="0" w:color="02847D"/>
        <w:left w:val="single" w:sz="8" w:space="0" w:color="02847D"/>
        <w:bottom w:val="single" w:sz="8" w:space="0" w:color="02847D"/>
        <w:right w:val="single" w:sz="8" w:space="0" w:color="02847D"/>
        <w:insideH w:val="single" w:sz="8" w:space="0" w:color="02847D"/>
        <w:insideV w:val="single" w:sz="8" w:space="0" w:color="02847D"/>
      </w:tblBorders>
    </w:tblPr>
    <w:tblStylePr w:type="firstRow">
      <w:pPr>
        <w:spacing w:before="0" w:after="0" w:line="240" w:lineRule="auto"/>
      </w:pPr>
      <w:rPr>
        <w:rFonts w:ascii="Calibri Light" w:eastAsia="Arial Narrow" w:hAnsi="Calibri Light" w:cs="Tunga"/>
        <w:b/>
        <w:bCs/>
      </w:rPr>
      <w:tblPr/>
      <w:tcPr>
        <w:tcBorders>
          <w:top w:val="single" w:sz="8" w:space="0" w:color="02847D"/>
          <w:left w:val="single" w:sz="8" w:space="0" w:color="02847D"/>
          <w:bottom w:val="single" w:sz="18" w:space="0" w:color="02847D"/>
          <w:right w:val="single" w:sz="8" w:space="0" w:color="02847D"/>
          <w:insideH w:val="nil"/>
          <w:insideV w:val="single" w:sz="8" w:space="0" w:color="02847D"/>
        </w:tcBorders>
      </w:tcPr>
    </w:tblStylePr>
    <w:tblStylePr w:type="lastRow">
      <w:pPr>
        <w:spacing w:before="0" w:after="0" w:line="240" w:lineRule="auto"/>
      </w:pPr>
      <w:rPr>
        <w:rFonts w:ascii="Calibri Light" w:eastAsia="Arial Narrow" w:hAnsi="Calibri Light" w:cs="Tunga"/>
        <w:b/>
        <w:bCs/>
      </w:rPr>
      <w:tblPr/>
      <w:tcPr>
        <w:tcBorders>
          <w:top w:val="double" w:sz="6" w:space="0" w:color="02847D"/>
          <w:left w:val="single" w:sz="8" w:space="0" w:color="02847D"/>
          <w:bottom w:val="single" w:sz="8" w:space="0" w:color="02847D"/>
          <w:right w:val="single" w:sz="8" w:space="0" w:color="02847D"/>
          <w:insideH w:val="nil"/>
          <w:insideV w:val="single" w:sz="8" w:space="0" w:color="02847D"/>
        </w:tcBorders>
      </w:tcPr>
    </w:tblStylePr>
    <w:tblStylePr w:type="firstCol">
      <w:rPr>
        <w:rFonts w:ascii="Calibri Light" w:eastAsia="Arial Narrow" w:hAnsi="Calibri Light" w:cs="Tunga"/>
        <w:b/>
        <w:bCs/>
      </w:rPr>
    </w:tblStylePr>
    <w:tblStylePr w:type="lastCol">
      <w:rPr>
        <w:rFonts w:ascii="Calibri Light" w:eastAsia="Arial Narrow" w:hAnsi="Calibri Light" w:cs="Tunga"/>
        <w:b/>
        <w:bCs/>
      </w:rPr>
      <w:tblPr/>
      <w:tcPr>
        <w:tcBorders>
          <w:top w:val="single" w:sz="8" w:space="0" w:color="02847D"/>
          <w:left w:val="single" w:sz="8" w:space="0" w:color="02847D"/>
          <w:bottom w:val="single" w:sz="8" w:space="0" w:color="02847D"/>
          <w:right w:val="single" w:sz="8" w:space="0" w:color="02847D"/>
        </w:tcBorders>
      </w:tcPr>
    </w:tblStylePr>
    <w:tblStylePr w:type="band1Vert">
      <w:tblPr/>
      <w:tcPr>
        <w:tcBorders>
          <w:top w:val="single" w:sz="8" w:space="0" w:color="02847D"/>
          <w:left w:val="single" w:sz="8" w:space="0" w:color="02847D"/>
          <w:bottom w:val="single" w:sz="8" w:space="0" w:color="02847D"/>
          <w:right w:val="single" w:sz="8" w:space="0" w:color="02847D"/>
        </w:tcBorders>
        <w:shd w:val="clear" w:color="auto" w:fill="A3FDF8"/>
      </w:tcPr>
    </w:tblStylePr>
    <w:tblStylePr w:type="band1Horz">
      <w:tblPr/>
      <w:tcPr>
        <w:tcBorders>
          <w:top w:val="single" w:sz="8" w:space="0" w:color="02847D"/>
          <w:left w:val="single" w:sz="8" w:space="0" w:color="02847D"/>
          <w:bottom w:val="single" w:sz="8" w:space="0" w:color="02847D"/>
          <w:right w:val="single" w:sz="8" w:space="0" w:color="02847D"/>
          <w:insideV w:val="single" w:sz="8" w:space="0" w:color="02847D"/>
        </w:tcBorders>
        <w:shd w:val="clear" w:color="auto" w:fill="A3FDF8"/>
      </w:tcPr>
    </w:tblStylePr>
    <w:tblStylePr w:type="band2Horz">
      <w:tblPr/>
      <w:tcPr>
        <w:tcBorders>
          <w:top w:val="single" w:sz="8" w:space="0" w:color="02847D"/>
          <w:left w:val="single" w:sz="8" w:space="0" w:color="02847D"/>
          <w:bottom w:val="single" w:sz="8" w:space="0" w:color="02847D"/>
          <w:right w:val="single" w:sz="8" w:space="0" w:color="02847D"/>
          <w:insideV w:val="single" w:sz="8" w:space="0" w:color="02847D"/>
        </w:tcBorders>
      </w:tcPr>
    </w:tblStylePr>
  </w:style>
  <w:style w:type="table" w:customStyle="1" w:styleId="LightGrid-Accent22">
    <w:name w:val="Light Grid - Accent 22"/>
    <w:basedOn w:val="TableNormal"/>
    <w:next w:val="LightGrid-Accent2"/>
    <w:uiPriority w:val="62"/>
    <w:semiHidden/>
    <w:unhideWhenUsed/>
    <w:rsid w:val="0057062A"/>
    <w:pPr>
      <w:spacing w:after="0" w:line="240" w:lineRule="auto"/>
    </w:pPr>
    <w:tblPr>
      <w:tblStyleRowBandSize w:val="1"/>
      <w:tblStyleColBandSize w:val="1"/>
      <w:tblBorders>
        <w:top w:val="single" w:sz="8" w:space="0" w:color="F36E44"/>
        <w:left w:val="single" w:sz="8" w:space="0" w:color="F36E44"/>
        <w:bottom w:val="single" w:sz="8" w:space="0" w:color="F36E44"/>
        <w:right w:val="single" w:sz="8" w:space="0" w:color="F36E44"/>
        <w:insideH w:val="single" w:sz="8" w:space="0" w:color="F36E44"/>
        <w:insideV w:val="single" w:sz="8" w:space="0" w:color="F36E44"/>
      </w:tblBorders>
    </w:tblPr>
    <w:tblStylePr w:type="firstRow">
      <w:pPr>
        <w:spacing w:before="0" w:after="0" w:line="240" w:lineRule="auto"/>
      </w:pPr>
      <w:rPr>
        <w:rFonts w:ascii="Calibri Light" w:eastAsia="Arial Narrow" w:hAnsi="Calibri Light" w:cs="Tunga"/>
        <w:b/>
        <w:bCs/>
      </w:rPr>
      <w:tblPr/>
      <w:tcPr>
        <w:tcBorders>
          <w:top w:val="single" w:sz="8" w:space="0" w:color="F36E44"/>
          <w:left w:val="single" w:sz="8" w:space="0" w:color="F36E44"/>
          <w:bottom w:val="single" w:sz="18" w:space="0" w:color="F36E44"/>
          <w:right w:val="single" w:sz="8" w:space="0" w:color="F36E44"/>
          <w:insideH w:val="nil"/>
          <w:insideV w:val="single" w:sz="8" w:space="0" w:color="F36E44"/>
        </w:tcBorders>
      </w:tcPr>
    </w:tblStylePr>
    <w:tblStylePr w:type="lastRow">
      <w:pPr>
        <w:spacing w:before="0" w:after="0" w:line="240" w:lineRule="auto"/>
      </w:pPr>
      <w:rPr>
        <w:rFonts w:ascii="Calibri Light" w:eastAsia="Arial Narrow" w:hAnsi="Calibri Light" w:cs="Tunga"/>
        <w:b/>
        <w:bCs/>
      </w:rPr>
      <w:tblPr/>
      <w:tcPr>
        <w:tcBorders>
          <w:top w:val="double" w:sz="6" w:space="0" w:color="F36E44"/>
          <w:left w:val="single" w:sz="8" w:space="0" w:color="F36E44"/>
          <w:bottom w:val="single" w:sz="8" w:space="0" w:color="F36E44"/>
          <w:right w:val="single" w:sz="8" w:space="0" w:color="F36E44"/>
          <w:insideH w:val="nil"/>
          <w:insideV w:val="single" w:sz="8" w:space="0" w:color="F36E44"/>
        </w:tcBorders>
      </w:tcPr>
    </w:tblStylePr>
    <w:tblStylePr w:type="firstCol">
      <w:rPr>
        <w:rFonts w:ascii="Calibri Light" w:eastAsia="Arial Narrow" w:hAnsi="Calibri Light" w:cs="Tunga"/>
        <w:b/>
        <w:bCs/>
      </w:rPr>
    </w:tblStylePr>
    <w:tblStylePr w:type="lastCol">
      <w:rPr>
        <w:rFonts w:ascii="Calibri Light" w:eastAsia="Arial Narrow" w:hAnsi="Calibri Light" w:cs="Tunga"/>
        <w:b/>
        <w:bCs/>
      </w:rPr>
      <w:tblPr/>
      <w:tcPr>
        <w:tcBorders>
          <w:top w:val="single" w:sz="8" w:space="0" w:color="F36E44"/>
          <w:left w:val="single" w:sz="8" w:space="0" w:color="F36E44"/>
          <w:bottom w:val="single" w:sz="8" w:space="0" w:color="F36E44"/>
          <w:right w:val="single" w:sz="8" w:space="0" w:color="F36E44"/>
        </w:tcBorders>
      </w:tcPr>
    </w:tblStylePr>
    <w:tblStylePr w:type="band1Vert">
      <w:tblPr/>
      <w:tcPr>
        <w:tcBorders>
          <w:top w:val="single" w:sz="8" w:space="0" w:color="F36E44"/>
          <w:left w:val="single" w:sz="8" w:space="0" w:color="F36E44"/>
          <w:bottom w:val="single" w:sz="8" w:space="0" w:color="F36E44"/>
          <w:right w:val="single" w:sz="8" w:space="0" w:color="F36E44"/>
        </w:tcBorders>
        <w:shd w:val="clear" w:color="auto" w:fill="FCDAD0"/>
      </w:tcPr>
    </w:tblStylePr>
    <w:tblStylePr w:type="band1Horz">
      <w:tblPr/>
      <w:tcPr>
        <w:tcBorders>
          <w:top w:val="single" w:sz="8" w:space="0" w:color="F36E44"/>
          <w:left w:val="single" w:sz="8" w:space="0" w:color="F36E44"/>
          <w:bottom w:val="single" w:sz="8" w:space="0" w:color="F36E44"/>
          <w:right w:val="single" w:sz="8" w:space="0" w:color="F36E44"/>
          <w:insideV w:val="single" w:sz="8" w:space="0" w:color="F36E44"/>
        </w:tcBorders>
        <w:shd w:val="clear" w:color="auto" w:fill="FCDAD0"/>
      </w:tcPr>
    </w:tblStylePr>
    <w:tblStylePr w:type="band2Horz">
      <w:tblPr/>
      <w:tcPr>
        <w:tcBorders>
          <w:top w:val="single" w:sz="8" w:space="0" w:color="F36E44"/>
          <w:left w:val="single" w:sz="8" w:space="0" w:color="F36E44"/>
          <w:bottom w:val="single" w:sz="8" w:space="0" w:color="F36E44"/>
          <w:right w:val="single" w:sz="8" w:space="0" w:color="F36E44"/>
          <w:insideV w:val="single" w:sz="8" w:space="0" w:color="F36E44"/>
        </w:tcBorders>
      </w:tcPr>
    </w:tblStylePr>
  </w:style>
  <w:style w:type="table" w:customStyle="1" w:styleId="LightGrid-Accent32">
    <w:name w:val="Light Grid - Accent 32"/>
    <w:basedOn w:val="TableNormal"/>
    <w:next w:val="LightGrid-Accent3"/>
    <w:uiPriority w:val="62"/>
    <w:semiHidden/>
    <w:unhideWhenUsed/>
    <w:rsid w:val="0057062A"/>
    <w:pPr>
      <w:spacing w:after="0" w:line="240" w:lineRule="auto"/>
    </w:pPr>
    <w:tblPr>
      <w:tblStyleRowBandSize w:val="1"/>
      <w:tblStyleColBandSize w:val="1"/>
      <w:tblBorders>
        <w:top w:val="single" w:sz="8" w:space="0" w:color="59BDB8"/>
        <w:left w:val="single" w:sz="8" w:space="0" w:color="59BDB8"/>
        <w:bottom w:val="single" w:sz="8" w:space="0" w:color="59BDB8"/>
        <w:right w:val="single" w:sz="8" w:space="0" w:color="59BDB8"/>
        <w:insideH w:val="single" w:sz="8" w:space="0" w:color="59BDB8"/>
        <w:insideV w:val="single" w:sz="8" w:space="0" w:color="59BDB8"/>
      </w:tblBorders>
    </w:tblPr>
    <w:tblStylePr w:type="firstRow">
      <w:pPr>
        <w:spacing w:before="0" w:after="0" w:line="240" w:lineRule="auto"/>
      </w:pPr>
      <w:rPr>
        <w:rFonts w:ascii="Calibri Light" w:eastAsia="Arial Narrow" w:hAnsi="Calibri Light" w:cs="Tunga"/>
        <w:b/>
        <w:bCs/>
      </w:rPr>
      <w:tblPr/>
      <w:tcPr>
        <w:tcBorders>
          <w:top w:val="single" w:sz="8" w:space="0" w:color="59BDB8"/>
          <w:left w:val="single" w:sz="8" w:space="0" w:color="59BDB8"/>
          <w:bottom w:val="single" w:sz="18" w:space="0" w:color="59BDB8"/>
          <w:right w:val="single" w:sz="8" w:space="0" w:color="59BDB8"/>
          <w:insideH w:val="nil"/>
          <w:insideV w:val="single" w:sz="8" w:space="0" w:color="59BDB8"/>
        </w:tcBorders>
      </w:tcPr>
    </w:tblStylePr>
    <w:tblStylePr w:type="lastRow">
      <w:pPr>
        <w:spacing w:before="0" w:after="0" w:line="240" w:lineRule="auto"/>
      </w:pPr>
      <w:rPr>
        <w:rFonts w:ascii="Calibri Light" w:eastAsia="Arial Narrow" w:hAnsi="Calibri Light" w:cs="Tunga"/>
        <w:b/>
        <w:bCs/>
      </w:rPr>
      <w:tblPr/>
      <w:tcPr>
        <w:tcBorders>
          <w:top w:val="double" w:sz="6" w:space="0" w:color="59BDB8"/>
          <w:left w:val="single" w:sz="8" w:space="0" w:color="59BDB8"/>
          <w:bottom w:val="single" w:sz="8" w:space="0" w:color="59BDB8"/>
          <w:right w:val="single" w:sz="8" w:space="0" w:color="59BDB8"/>
          <w:insideH w:val="nil"/>
          <w:insideV w:val="single" w:sz="8" w:space="0" w:color="59BDB8"/>
        </w:tcBorders>
      </w:tcPr>
    </w:tblStylePr>
    <w:tblStylePr w:type="firstCol">
      <w:rPr>
        <w:rFonts w:ascii="Calibri Light" w:eastAsia="Arial Narrow" w:hAnsi="Calibri Light" w:cs="Tunga"/>
        <w:b/>
        <w:bCs/>
      </w:rPr>
    </w:tblStylePr>
    <w:tblStylePr w:type="lastCol">
      <w:rPr>
        <w:rFonts w:ascii="Calibri Light" w:eastAsia="Arial Narrow" w:hAnsi="Calibri Light" w:cs="Tunga"/>
        <w:b/>
        <w:bCs/>
      </w:rPr>
      <w:tblPr/>
      <w:tcPr>
        <w:tcBorders>
          <w:top w:val="single" w:sz="8" w:space="0" w:color="59BDB8"/>
          <w:left w:val="single" w:sz="8" w:space="0" w:color="59BDB8"/>
          <w:bottom w:val="single" w:sz="8" w:space="0" w:color="59BDB8"/>
          <w:right w:val="single" w:sz="8" w:space="0" w:color="59BDB8"/>
        </w:tcBorders>
      </w:tcPr>
    </w:tblStylePr>
    <w:tblStylePr w:type="band1Vert">
      <w:tblPr/>
      <w:tcPr>
        <w:tcBorders>
          <w:top w:val="single" w:sz="8" w:space="0" w:color="59BDB8"/>
          <w:left w:val="single" w:sz="8" w:space="0" w:color="59BDB8"/>
          <w:bottom w:val="single" w:sz="8" w:space="0" w:color="59BDB8"/>
          <w:right w:val="single" w:sz="8" w:space="0" w:color="59BDB8"/>
        </w:tcBorders>
        <w:shd w:val="clear" w:color="auto" w:fill="D5EEED"/>
      </w:tcPr>
    </w:tblStylePr>
    <w:tblStylePr w:type="band1Horz">
      <w:tblPr/>
      <w:tcPr>
        <w:tcBorders>
          <w:top w:val="single" w:sz="8" w:space="0" w:color="59BDB8"/>
          <w:left w:val="single" w:sz="8" w:space="0" w:color="59BDB8"/>
          <w:bottom w:val="single" w:sz="8" w:space="0" w:color="59BDB8"/>
          <w:right w:val="single" w:sz="8" w:space="0" w:color="59BDB8"/>
          <w:insideV w:val="single" w:sz="8" w:space="0" w:color="59BDB8"/>
        </w:tcBorders>
        <w:shd w:val="clear" w:color="auto" w:fill="D5EEED"/>
      </w:tcPr>
    </w:tblStylePr>
    <w:tblStylePr w:type="band2Horz">
      <w:tblPr/>
      <w:tcPr>
        <w:tcBorders>
          <w:top w:val="single" w:sz="8" w:space="0" w:color="59BDB8"/>
          <w:left w:val="single" w:sz="8" w:space="0" w:color="59BDB8"/>
          <w:bottom w:val="single" w:sz="8" w:space="0" w:color="59BDB8"/>
          <w:right w:val="single" w:sz="8" w:space="0" w:color="59BDB8"/>
          <w:insideV w:val="single" w:sz="8" w:space="0" w:color="59BDB8"/>
        </w:tcBorders>
      </w:tcPr>
    </w:tblStylePr>
  </w:style>
  <w:style w:type="table" w:customStyle="1" w:styleId="LightGrid-Accent42">
    <w:name w:val="Light Grid - Accent 42"/>
    <w:basedOn w:val="TableNormal"/>
    <w:next w:val="LightGrid-Accent4"/>
    <w:uiPriority w:val="62"/>
    <w:semiHidden/>
    <w:unhideWhenUsed/>
    <w:rsid w:val="0057062A"/>
    <w:pPr>
      <w:spacing w:after="0" w:line="240" w:lineRule="auto"/>
    </w:pPr>
    <w:tblPr>
      <w:tblStyleRowBandSize w:val="1"/>
      <w:tblStyleColBandSize w:val="1"/>
      <w:tblBorders>
        <w:top w:val="single" w:sz="8" w:space="0" w:color="FDB933"/>
        <w:left w:val="single" w:sz="8" w:space="0" w:color="FDB933"/>
        <w:bottom w:val="single" w:sz="8" w:space="0" w:color="FDB933"/>
        <w:right w:val="single" w:sz="8" w:space="0" w:color="FDB933"/>
        <w:insideH w:val="single" w:sz="8" w:space="0" w:color="FDB933"/>
        <w:insideV w:val="single" w:sz="8" w:space="0" w:color="FDB933"/>
      </w:tblBorders>
    </w:tblPr>
    <w:tblStylePr w:type="firstRow">
      <w:pPr>
        <w:spacing w:before="0" w:after="0" w:line="240" w:lineRule="auto"/>
      </w:pPr>
      <w:rPr>
        <w:rFonts w:ascii="Calibri Light" w:eastAsia="Arial Narrow" w:hAnsi="Calibri Light" w:cs="Tunga"/>
        <w:b/>
        <w:bCs/>
      </w:rPr>
      <w:tblPr/>
      <w:tcPr>
        <w:tcBorders>
          <w:top w:val="single" w:sz="8" w:space="0" w:color="FDB933"/>
          <w:left w:val="single" w:sz="8" w:space="0" w:color="FDB933"/>
          <w:bottom w:val="single" w:sz="18" w:space="0" w:color="FDB933"/>
          <w:right w:val="single" w:sz="8" w:space="0" w:color="FDB933"/>
          <w:insideH w:val="nil"/>
          <w:insideV w:val="single" w:sz="8" w:space="0" w:color="FDB933"/>
        </w:tcBorders>
      </w:tcPr>
    </w:tblStylePr>
    <w:tblStylePr w:type="lastRow">
      <w:pPr>
        <w:spacing w:before="0" w:after="0" w:line="240" w:lineRule="auto"/>
      </w:pPr>
      <w:rPr>
        <w:rFonts w:ascii="Calibri Light" w:eastAsia="Arial Narrow" w:hAnsi="Calibri Light" w:cs="Tunga"/>
        <w:b/>
        <w:bCs/>
      </w:rPr>
      <w:tblPr/>
      <w:tcPr>
        <w:tcBorders>
          <w:top w:val="double" w:sz="6" w:space="0" w:color="FDB933"/>
          <w:left w:val="single" w:sz="8" w:space="0" w:color="FDB933"/>
          <w:bottom w:val="single" w:sz="8" w:space="0" w:color="FDB933"/>
          <w:right w:val="single" w:sz="8" w:space="0" w:color="FDB933"/>
          <w:insideH w:val="nil"/>
          <w:insideV w:val="single" w:sz="8" w:space="0" w:color="FDB933"/>
        </w:tcBorders>
      </w:tcPr>
    </w:tblStylePr>
    <w:tblStylePr w:type="firstCol">
      <w:rPr>
        <w:rFonts w:ascii="Calibri Light" w:eastAsia="Arial Narrow" w:hAnsi="Calibri Light" w:cs="Tunga"/>
        <w:b/>
        <w:bCs/>
      </w:rPr>
    </w:tblStylePr>
    <w:tblStylePr w:type="lastCol">
      <w:rPr>
        <w:rFonts w:ascii="Calibri Light" w:eastAsia="Arial Narrow" w:hAnsi="Calibri Light" w:cs="Tunga"/>
        <w:b/>
        <w:bCs/>
      </w:rPr>
      <w:tblPr/>
      <w:tcPr>
        <w:tcBorders>
          <w:top w:val="single" w:sz="8" w:space="0" w:color="FDB933"/>
          <w:left w:val="single" w:sz="8" w:space="0" w:color="FDB933"/>
          <w:bottom w:val="single" w:sz="8" w:space="0" w:color="FDB933"/>
          <w:right w:val="single" w:sz="8" w:space="0" w:color="FDB933"/>
        </w:tcBorders>
      </w:tcPr>
    </w:tblStylePr>
    <w:tblStylePr w:type="band1Vert">
      <w:tblPr/>
      <w:tcPr>
        <w:tcBorders>
          <w:top w:val="single" w:sz="8" w:space="0" w:color="FDB933"/>
          <w:left w:val="single" w:sz="8" w:space="0" w:color="FDB933"/>
          <w:bottom w:val="single" w:sz="8" w:space="0" w:color="FDB933"/>
          <w:right w:val="single" w:sz="8" w:space="0" w:color="FDB933"/>
        </w:tcBorders>
        <w:shd w:val="clear" w:color="auto" w:fill="FEEDCC"/>
      </w:tcPr>
    </w:tblStylePr>
    <w:tblStylePr w:type="band1Horz">
      <w:tblPr/>
      <w:tcPr>
        <w:tcBorders>
          <w:top w:val="single" w:sz="8" w:space="0" w:color="FDB933"/>
          <w:left w:val="single" w:sz="8" w:space="0" w:color="FDB933"/>
          <w:bottom w:val="single" w:sz="8" w:space="0" w:color="FDB933"/>
          <w:right w:val="single" w:sz="8" w:space="0" w:color="FDB933"/>
          <w:insideV w:val="single" w:sz="8" w:space="0" w:color="FDB933"/>
        </w:tcBorders>
        <w:shd w:val="clear" w:color="auto" w:fill="FEEDCC"/>
      </w:tcPr>
    </w:tblStylePr>
    <w:tblStylePr w:type="band2Horz">
      <w:tblPr/>
      <w:tcPr>
        <w:tcBorders>
          <w:top w:val="single" w:sz="8" w:space="0" w:color="FDB933"/>
          <w:left w:val="single" w:sz="8" w:space="0" w:color="FDB933"/>
          <w:bottom w:val="single" w:sz="8" w:space="0" w:color="FDB933"/>
          <w:right w:val="single" w:sz="8" w:space="0" w:color="FDB933"/>
          <w:insideV w:val="single" w:sz="8" w:space="0" w:color="FDB933"/>
        </w:tcBorders>
      </w:tcPr>
    </w:tblStylePr>
  </w:style>
  <w:style w:type="table" w:customStyle="1" w:styleId="LightGrid-Accent52">
    <w:name w:val="Light Grid - Accent 52"/>
    <w:basedOn w:val="TableNormal"/>
    <w:next w:val="LightGrid-Accent5"/>
    <w:uiPriority w:val="62"/>
    <w:semiHidden/>
    <w:unhideWhenUsed/>
    <w:rsid w:val="0057062A"/>
    <w:pPr>
      <w:spacing w:after="0" w:line="240" w:lineRule="auto"/>
    </w:pPr>
    <w:tblPr>
      <w:tblStyleRowBandSize w:val="1"/>
      <w:tblStyleColBandSize w:val="1"/>
      <w:tblBorders>
        <w:top w:val="single" w:sz="8" w:space="0" w:color="6CAD6C"/>
        <w:left w:val="single" w:sz="8" w:space="0" w:color="6CAD6C"/>
        <w:bottom w:val="single" w:sz="8" w:space="0" w:color="6CAD6C"/>
        <w:right w:val="single" w:sz="8" w:space="0" w:color="6CAD6C"/>
        <w:insideH w:val="single" w:sz="8" w:space="0" w:color="6CAD6C"/>
        <w:insideV w:val="single" w:sz="8" w:space="0" w:color="6CAD6C"/>
      </w:tblBorders>
    </w:tblPr>
    <w:tblStylePr w:type="firstRow">
      <w:pPr>
        <w:spacing w:before="0" w:after="0" w:line="240" w:lineRule="auto"/>
      </w:pPr>
      <w:rPr>
        <w:rFonts w:ascii="Calibri Light" w:eastAsia="Arial Narrow" w:hAnsi="Calibri Light" w:cs="Tunga"/>
        <w:b/>
        <w:bCs/>
      </w:rPr>
      <w:tblPr/>
      <w:tcPr>
        <w:tcBorders>
          <w:top w:val="single" w:sz="8" w:space="0" w:color="6CAD6C"/>
          <w:left w:val="single" w:sz="8" w:space="0" w:color="6CAD6C"/>
          <w:bottom w:val="single" w:sz="18" w:space="0" w:color="6CAD6C"/>
          <w:right w:val="single" w:sz="8" w:space="0" w:color="6CAD6C"/>
          <w:insideH w:val="nil"/>
          <w:insideV w:val="single" w:sz="8" w:space="0" w:color="6CAD6C"/>
        </w:tcBorders>
      </w:tcPr>
    </w:tblStylePr>
    <w:tblStylePr w:type="lastRow">
      <w:pPr>
        <w:spacing w:before="0" w:after="0" w:line="240" w:lineRule="auto"/>
      </w:pPr>
      <w:rPr>
        <w:rFonts w:ascii="Calibri Light" w:eastAsia="Arial Narrow" w:hAnsi="Calibri Light" w:cs="Tunga"/>
        <w:b/>
        <w:bCs/>
      </w:rPr>
      <w:tblPr/>
      <w:tcPr>
        <w:tcBorders>
          <w:top w:val="double" w:sz="6" w:space="0" w:color="6CAD6C"/>
          <w:left w:val="single" w:sz="8" w:space="0" w:color="6CAD6C"/>
          <w:bottom w:val="single" w:sz="8" w:space="0" w:color="6CAD6C"/>
          <w:right w:val="single" w:sz="8" w:space="0" w:color="6CAD6C"/>
          <w:insideH w:val="nil"/>
          <w:insideV w:val="single" w:sz="8" w:space="0" w:color="6CAD6C"/>
        </w:tcBorders>
      </w:tcPr>
    </w:tblStylePr>
    <w:tblStylePr w:type="firstCol">
      <w:rPr>
        <w:rFonts w:ascii="Calibri Light" w:eastAsia="Arial Narrow" w:hAnsi="Calibri Light" w:cs="Tunga"/>
        <w:b/>
        <w:bCs/>
      </w:rPr>
    </w:tblStylePr>
    <w:tblStylePr w:type="lastCol">
      <w:rPr>
        <w:rFonts w:ascii="Calibri Light" w:eastAsia="Arial Narrow" w:hAnsi="Calibri Light" w:cs="Tunga"/>
        <w:b/>
        <w:bCs/>
      </w:rPr>
      <w:tblPr/>
      <w:tcPr>
        <w:tcBorders>
          <w:top w:val="single" w:sz="8" w:space="0" w:color="6CAD6C"/>
          <w:left w:val="single" w:sz="8" w:space="0" w:color="6CAD6C"/>
          <w:bottom w:val="single" w:sz="8" w:space="0" w:color="6CAD6C"/>
          <w:right w:val="single" w:sz="8" w:space="0" w:color="6CAD6C"/>
        </w:tcBorders>
      </w:tcPr>
    </w:tblStylePr>
    <w:tblStylePr w:type="band1Vert">
      <w:tblPr/>
      <w:tcPr>
        <w:tcBorders>
          <w:top w:val="single" w:sz="8" w:space="0" w:color="6CAD6C"/>
          <w:left w:val="single" w:sz="8" w:space="0" w:color="6CAD6C"/>
          <w:bottom w:val="single" w:sz="8" w:space="0" w:color="6CAD6C"/>
          <w:right w:val="single" w:sz="8" w:space="0" w:color="6CAD6C"/>
        </w:tcBorders>
        <w:shd w:val="clear" w:color="auto" w:fill="DAEADA"/>
      </w:tcPr>
    </w:tblStylePr>
    <w:tblStylePr w:type="band1Horz">
      <w:tblPr/>
      <w:tcPr>
        <w:tcBorders>
          <w:top w:val="single" w:sz="8" w:space="0" w:color="6CAD6C"/>
          <w:left w:val="single" w:sz="8" w:space="0" w:color="6CAD6C"/>
          <w:bottom w:val="single" w:sz="8" w:space="0" w:color="6CAD6C"/>
          <w:right w:val="single" w:sz="8" w:space="0" w:color="6CAD6C"/>
          <w:insideV w:val="single" w:sz="8" w:space="0" w:color="6CAD6C"/>
        </w:tcBorders>
        <w:shd w:val="clear" w:color="auto" w:fill="DAEADA"/>
      </w:tcPr>
    </w:tblStylePr>
    <w:tblStylePr w:type="band2Horz">
      <w:tblPr/>
      <w:tcPr>
        <w:tcBorders>
          <w:top w:val="single" w:sz="8" w:space="0" w:color="6CAD6C"/>
          <w:left w:val="single" w:sz="8" w:space="0" w:color="6CAD6C"/>
          <w:bottom w:val="single" w:sz="8" w:space="0" w:color="6CAD6C"/>
          <w:right w:val="single" w:sz="8" w:space="0" w:color="6CAD6C"/>
          <w:insideV w:val="single" w:sz="8" w:space="0" w:color="6CAD6C"/>
        </w:tcBorders>
      </w:tcPr>
    </w:tblStylePr>
  </w:style>
  <w:style w:type="table" w:customStyle="1" w:styleId="LightGrid-Accent62">
    <w:name w:val="Light Grid - Accent 62"/>
    <w:basedOn w:val="TableNormal"/>
    <w:next w:val="LightGrid-Accent6"/>
    <w:uiPriority w:val="62"/>
    <w:semiHidden/>
    <w:unhideWhenUsed/>
    <w:rsid w:val="0057062A"/>
    <w:pPr>
      <w:spacing w:after="0" w:line="240" w:lineRule="auto"/>
    </w:pPr>
    <w:tblPr>
      <w:tblStyleRowBandSize w:val="1"/>
      <w:tblStyleColBandSize w:val="1"/>
      <w:tblBorders>
        <w:top w:val="single" w:sz="8" w:space="0" w:color="BD2644"/>
        <w:left w:val="single" w:sz="8" w:space="0" w:color="BD2644"/>
        <w:bottom w:val="single" w:sz="8" w:space="0" w:color="BD2644"/>
        <w:right w:val="single" w:sz="8" w:space="0" w:color="BD2644"/>
        <w:insideH w:val="single" w:sz="8" w:space="0" w:color="BD2644"/>
        <w:insideV w:val="single" w:sz="8" w:space="0" w:color="BD2644"/>
      </w:tblBorders>
    </w:tblPr>
    <w:tblStylePr w:type="firstRow">
      <w:pPr>
        <w:spacing w:before="0" w:after="0" w:line="240" w:lineRule="auto"/>
      </w:pPr>
      <w:rPr>
        <w:rFonts w:ascii="Calibri Light" w:eastAsia="Arial Narrow" w:hAnsi="Calibri Light" w:cs="Tunga"/>
        <w:b/>
        <w:bCs/>
      </w:rPr>
      <w:tblPr/>
      <w:tcPr>
        <w:tcBorders>
          <w:top w:val="single" w:sz="8" w:space="0" w:color="BD2644"/>
          <w:left w:val="single" w:sz="8" w:space="0" w:color="BD2644"/>
          <w:bottom w:val="single" w:sz="18" w:space="0" w:color="BD2644"/>
          <w:right w:val="single" w:sz="8" w:space="0" w:color="BD2644"/>
          <w:insideH w:val="nil"/>
          <w:insideV w:val="single" w:sz="8" w:space="0" w:color="BD2644"/>
        </w:tcBorders>
      </w:tcPr>
    </w:tblStylePr>
    <w:tblStylePr w:type="lastRow">
      <w:pPr>
        <w:spacing w:before="0" w:after="0" w:line="240" w:lineRule="auto"/>
      </w:pPr>
      <w:rPr>
        <w:rFonts w:ascii="Calibri Light" w:eastAsia="Arial Narrow" w:hAnsi="Calibri Light" w:cs="Tunga"/>
        <w:b/>
        <w:bCs/>
      </w:rPr>
      <w:tblPr/>
      <w:tcPr>
        <w:tcBorders>
          <w:top w:val="double" w:sz="6" w:space="0" w:color="BD2644"/>
          <w:left w:val="single" w:sz="8" w:space="0" w:color="BD2644"/>
          <w:bottom w:val="single" w:sz="8" w:space="0" w:color="BD2644"/>
          <w:right w:val="single" w:sz="8" w:space="0" w:color="BD2644"/>
          <w:insideH w:val="nil"/>
          <w:insideV w:val="single" w:sz="8" w:space="0" w:color="BD2644"/>
        </w:tcBorders>
      </w:tcPr>
    </w:tblStylePr>
    <w:tblStylePr w:type="firstCol">
      <w:rPr>
        <w:rFonts w:ascii="Calibri Light" w:eastAsia="Arial Narrow" w:hAnsi="Calibri Light" w:cs="Tunga"/>
        <w:b/>
        <w:bCs/>
      </w:rPr>
    </w:tblStylePr>
    <w:tblStylePr w:type="lastCol">
      <w:rPr>
        <w:rFonts w:ascii="Calibri Light" w:eastAsia="Arial Narrow" w:hAnsi="Calibri Light" w:cs="Tunga"/>
        <w:b/>
        <w:bCs/>
      </w:rPr>
      <w:tblPr/>
      <w:tcPr>
        <w:tcBorders>
          <w:top w:val="single" w:sz="8" w:space="0" w:color="BD2644"/>
          <w:left w:val="single" w:sz="8" w:space="0" w:color="BD2644"/>
          <w:bottom w:val="single" w:sz="8" w:space="0" w:color="BD2644"/>
          <w:right w:val="single" w:sz="8" w:space="0" w:color="BD2644"/>
        </w:tcBorders>
      </w:tcPr>
    </w:tblStylePr>
    <w:tblStylePr w:type="band1Vert">
      <w:tblPr/>
      <w:tcPr>
        <w:tcBorders>
          <w:top w:val="single" w:sz="8" w:space="0" w:color="BD2644"/>
          <w:left w:val="single" w:sz="8" w:space="0" w:color="BD2644"/>
          <w:bottom w:val="single" w:sz="8" w:space="0" w:color="BD2644"/>
          <w:right w:val="single" w:sz="8" w:space="0" w:color="BD2644"/>
        </w:tcBorders>
        <w:shd w:val="clear" w:color="auto" w:fill="F3C4CD"/>
      </w:tcPr>
    </w:tblStylePr>
    <w:tblStylePr w:type="band1Horz">
      <w:tblPr/>
      <w:tcPr>
        <w:tcBorders>
          <w:top w:val="single" w:sz="8" w:space="0" w:color="BD2644"/>
          <w:left w:val="single" w:sz="8" w:space="0" w:color="BD2644"/>
          <w:bottom w:val="single" w:sz="8" w:space="0" w:color="BD2644"/>
          <w:right w:val="single" w:sz="8" w:space="0" w:color="BD2644"/>
          <w:insideV w:val="single" w:sz="8" w:space="0" w:color="BD2644"/>
        </w:tcBorders>
        <w:shd w:val="clear" w:color="auto" w:fill="F3C4CD"/>
      </w:tcPr>
    </w:tblStylePr>
    <w:tblStylePr w:type="band2Horz">
      <w:tblPr/>
      <w:tcPr>
        <w:tcBorders>
          <w:top w:val="single" w:sz="8" w:space="0" w:color="BD2644"/>
          <w:left w:val="single" w:sz="8" w:space="0" w:color="BD2644"/>
          <w:bottom w:val="single" w:sz="8" w:space="0" w:color="BD2644"/>
          <w:right w:val="single" w:sz="8" w:space="0" w:color="BD2644"/>
          <w:insideV w:val="single" w:sz="8" w:space="0" w:color="BD2644"/>
        </w:tcBorders>
      </w:tcPr>
    </w:tblStylePr>
  </w:style>
  <w:style w:type="table" w:customStyle="1" w:styleId="LightList2">
    <w:name w:val="Light List2"/>
    <w:basedOn w:val="TableNormal"/>
    <w:next w:val="LightList"/>
    <w:uiPriority w:val="61"/>
    <w:semiHidden/>
    <w:unhideWhenUsed/>
    <w:rsid w:val="0057062A"/>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61"/>
    <w:semiHidden/>
    <w:unhideWhenUsed/>
    <w:rsid w:val="0057062A"/>
    <w:pPr>
      <w:spacing w:after="0" w:line="240" w:lineRule="auto"/>
    </w:pPr>
    <w:tblPr>
      <w:tblStyleRowBandSize w:val="1"/>
      <w:tblStyleColBandSize w:val="1"/>
      <w:tblBorders>
        <w:top w:val="single" w:sz="8" w:space="0" w:color="02847D"/>
        <w:left w:val="single" w:sz="8" w:space="0" w:color="02847D"/>
        <w:bottom w:val="single" w:sz="8" w:space="0" w:color="02847D"/>
        <w:right w:val="single" w:sz="8" w:space="0" w:color="02847D"/>
      </w:tblBorders>
    </w:tblPr>
    <w:tblStylePr w:type="firstRow">
      <w:pPr>
        <w:spacing w:before="0" w:after="0" w:line="240" w:lineRule="auto"/>
      </w:pPr>
      <w:rPr>
        <w:b/>
        <w:bCs/>
        <w:color w:val="FFFFFF"/>
      </w:rPr>
      <w:tblPr/>
      <w:tcPr>
        <w:shd w:val="clear" w:color="auto" w:fill="02847D"/>
      </w:tcPr>
    </w:tblStylePr>
    <w:tblStylePr w:type="lastRow">
      <w:pPr>
        <w:spacing w:before="0" w:after="0" w:line="240" w:lineRule="auto"/>
      </w:pPr>
      <w:rPr>
        <w:b/>
        <w:bCs/>
      </w:rPr>
      <w:tblPr/>
      <w:tcPr>
        <w:tcBorders>
          <w:top w:val="double" w:sz="6" w:space="0" w:color="02847D"/>
          <w:left w:val="single" w:sz="8" w:space="0" w:color="02847D"/>
          <w:bottom w:val="single" w:sz="8" w:space="0" w:color="02847D"/>
          <w:right w:val="single" w:sz="8" w:space="0" w:color="02847D"/>
        </w:tcBorders>
      </w:tcPr>
    </w:tblStylePr>
    <w:tblStylePr w:type="firstCol">
      <w:rPr>
        <w:b/>
        <w:bCs/>
      </w:rPr>
    </w:tblStylePr>
    <w:tblStylePr w:type="lastCol">
      <w:rPr>
        <w:b/>
        <w:bCs/>
      </w:rPr>
    </w:tblStylePr>
    <w:tblStylePr w:type="band1Vert">
      <w:tblPr/>
      <w:tcPr>
        <w:tcBorders>
          <w:top w:val="single" w:sz="8" w:space="0" w:color="02847D"/>
          <w:left w:val="single" w:sz="8" w:space="0" w:color="02847D"/>
          <w:bottom w:val="single" w:sz="8" w:space="0" w:color="02847D"/>
          <w:right w:val="single" w:sz="8" w:space="0" w:color="02847D"/>
        </w:tcBorders>
      </w:tcPr>
    </w:tblStylePr>
    <w:tblStylePr w:type="band1Horz">
      <w:tblPr/>
      <w:tcPr>
        <w:tcBorders>
          <w:top w:val="single" w:sz="8" w:space="0" w:color="02847D"/>
          <w:left w:val="single" w:sz="8" w:space="0" w:color="02847D"/>
          <w:bottom w:val="single" w:sz="8" w:space="0" w:color="02847D"/>
          <w:right w:val="single" w:sz="8" w:space="0" w:color="02847D"/>
        </w:tcBorders>
      </w:tcPr>
    </w:tblStylePr>
  </w:style>
  <w:style w:type="table" w:customStyle="1" w:styleId="LightList-Accent22">
    <w:name w:val="Light List - Accent 22"/>
    <w:basedOn w:val="TableNormal"/>
    <w:next w:val="LightList-Accent2"/>
    <w:uiPriority w:val="61"/>
    <w:semiHidden/>
    <w:unhideWhenUsed/>
    <w:rsid w:val="0057062A"/>
    <w:pPr>
      <w:spacing w:after="0" w:line="240" w:lineRule="auto"/>
    </w:pPr>
    <w:tblPr>
      <w:tblStyleRowBandSize w:val="1"/>
      <w:tblStyleColBandSize w:val="1"/>
      <w:tblBorders>
        <w:top w:val="single" w:sz="8" w:space="0" w:color="F36E44"/>
        <w:left w:val="single" w:sz="8" w:space="0" w:color="F36E44"/>
        <w:bottom w:val="single" w:sz="8" w:space="0" w:color="F36E44"/>
        <w:right w:val="single" w:sz="8" w:space="0" w:color="F36E44"/>
      </w:tblBorders>
    </w:tblPr>
    <w:tblStylePr w:type="firstRow">
      <w:pPr>
        <w:spacing w:before="0" w:after="0" w:line="240" w:lineRule="auto"/>
      </w:pPr>
      <w:rPr>
        <w:b/>
        <w:bCs/>
        <w:color w:val="FFFFFF"/>
      </w:rPr>
      <w:tblPr/>
      <w:tcPr>
        <w:shd w:val="clear" w:color="auto" w:fill="F36E44"/>
      </w:tcPr>
    </w:tblStylePr>
    <w:tblStylePr w:type="lastRow">
      <w:pPr>
        <w:spacing w:before="0" w:after="0" w:line="240" w:lineRule="auto"/>
      </w:pPr>
      <w:rPr>
        <w:b/>
        <w:bCs/>
      </w:rPr>
      <w:tblPr/>
      <w:tcPr>
        <w:tcBorders>
          <w:top w:val="double" w:sz="6" w:space="0" w:color="F36E44"/>
          <w:left w:val="single" w:sz="8" w:space="0" w:color="F36E44"/>
          <w:bottom w:val="single" w:sz="8" w:space="0" w:color="F36E44"/>
          <w:right w:val="single" w:sz="8" w:space="0" w:color="F36E44"/>
        </w:tcBorders>
      </w:tcPr>
    </w:tblStylePr>
    <w:tblStylePr w:type="firstCol">
      <w:rPr>
        <w:b/>
        <w:bCs/>
      </w:rPr>
    </w:tblStylePr>
    <w:tblStylePr w:type="lastCol">
      <w:rPr>
        <w:b/>
        <w:bCs/>
      </w:rPr>
    </w:tblStylePr>
    <w:tblStylePr w:type="band1Vert">
      <w:tblPr/>
      <w:tcPr>
        <w:tcBorders>
          <w:top w:val="single" w:sz="8" w:space="0" w:color="F36E44"/>
          <w:left w:val="single" w:sz="8" w:space="0" w:color="F36E44"/>
          <w:bottom w:val="single" w:sz="8" w:space="0" w:color="F36E44"/>
          <w:right w:val="single" w:sz="8" w:space="0" w:color="F36E44"/>
        </w:tcBorders>
      </w:tcPr>
    </w:tblStylePr>
    <w:tblStylePr w:type="band1Horz">
      <w:tblPr/>
      <w:tcPr>
        <w:tcBorders>
          <w:top w:val="single" w:sz="8" w:space="0" w:color="F36E44"/>
          <w:left w:val="single" w:sz="8" w:space="0" w:color="F36E44"/>
          <w:bottom w:val="single" w:sz="8" w:space="0" w:color="F36E44"/>
          <w:right w:val="single" w:sz="8" w:space="0" w:color="F36E44"/>
        </w:tcBorders>
      </w:tcPr>
    </w:tblStylePr>
  </w:style>
  <w:style w:type="table" w:customStyle="1" w:styleId="LightList-Accent32">
    <w:name w:val="Light List - Accent 32"/>
    <w:basedOn w:val="TableNormal"/>
    <w:next w:val="LightList-Accent3"/>
    <w:uiPriority w:val="61"/>
    <w:semiHidden/>
    <w:unhideWhenUsed/>
    <w:rsid w:val="0057062A"/>
    <w:pPr>
      <w:spacing w:after="0" w:line="240" w:lineRule="auto"/>
    </w:pPr>
    <w:tblPr>
      <w:tblStyleRowBandSize w:val="1"/>
      <w:tblStyleColBandSize w:val="1"/>
      <w:tblBorders>
        <w:top w:val="single" w:sz="8" w:space="0" w:color="59BDB8"/>
        <w:left w:val="single" w:sz="8" w:space="0" w:color="59BDB8"/>
        <w:bottom w:val="single" w:sz="8" w:space="0" w:color="59BDB8"/>
        <w:right w:val="single" w:sz="8" w:space="0" w:color="59BDB8"/>
      </w:tblBorders>
    </w:tblPr>
    <w:tblStylePr w:type="firstRow">
      <w:pPr>
        <w:spacing w:before="0" w:after="0" w:line="240" w:lineRule="auto"/>
      </w:pPr>
      <w:rPr>
        <w:b/>
        <w:bCs/>
        <w:color w:val="FFFFFF"/>
      </w:rPr>
      <w:tblPr/>
      <w:tcPr>
        <w:shd w:val="clear" w:color="auto" w:fill="59BDB8"/>
      </w:tcPr>
    </w:tblStylePr>
    <w:tblStylePr w:type="lastRow">
      <w:pPr>
        <w:spacing w:before="0" w:after="0" w:line="240" w:lineRule="auto"/>
      </w:pPr>
      <w:rPr>
        <w:b/>
        <w:bCs/>
      </w:rPr>
      <w:tblPr/>
      <w:tcPr>
        <w:tcBorders>
          <w:top w:val="double" w:sz="6" w:space="0" w:color="59BDB8"/>
          <w:left w:val="single" w:sz="8" w:space="0" w:color="59BDB8"/>
          <w:bottom w:val="single" w:sz="8" w:space="0" w:color="59BDB8"/>
          <w:right w:val="single" w:sz="8" w:space="0" w:color="59BDB8"/>
        </w:tcBorders>
      </w:tcPr>
    </w:tblStylePr>
    <w:tblStylePr w:type="firstCol">
      <w:rPr>
        <w:b/>
        <w:bCs/>
      </w:rPr>
    </w:tblStylePr>
    <w:tblStylePr w:type="lastCol">
      <w:rPr>
        <w:b/>
        <w:bCs/>
      </w:rPr>
    </w:tblStylePr>
    <w:tblStylePr w:type="band1Vert">
      <w:tblPr/>
      <w:tcPr>
        <w:tcBorders>
          <w:top w:val="single" w:sz="8" w:space="0" w:color="59BDB8"/>
          <w:left w:val="single" w:sz="8" w:space="0" w:color="59BDB8"/>
          <w:bottom w:val="single" w:sz="8" w:space="0" w:color="59BDB8"/>
          <w:right w:val="single" w:sz="8" w:space="0" w:color="59BDB8"/>
        </w:tcBorders>
      </w:tcPr>
    </w:tblStylePr>
    <w:tblStylePr w:type="band1Horz">
      <w:tblPr/>
      <w:tcPr>
        <w:tcBorders>
          <w:top w:val="single" w:sz="8" w:space="0" w:color="59BDB8"/>
          <w:left w:val="single" w:sz="8" w:space="0" w:color="59BDB8"/>
          <w:bottom w:val="single" w:sz="8" w:space="0" w:color="59BDB8"/>
          <w:right w:val="single" w:sz="8" w:space="0" w:color="59BDB8"/>
        </w:tcBorders>
      </w:tcPr>
    </w:tblStylePr>
  </w:style>
  <w:style w:type="table" w:customStyle="1" w:styleId="LightList-Accent42">
    <w:name w:val="Light List - Accent 42"/>
    <w:basedOn w:val="TableNormal"/>
    <w:next w:val="LightList-Accent4"/>
    <w:uiPriority w:val="61"/>
    <w:semiHidden/>
    <w:unhideWhenUsed/>
    <w:rsid w:val="0057062A"/>
    <w:pPr>
      <w:spacing w:after="0" w:line="240" w:lineRule="auto"/>
    </w:pPr>
    <w:tblPr>
      <w:tblStyleRowBandSize w:val="1"/>
      <w:tblStyleColBandSize w:val="1"/>
      <w:tblBorders>
        <w:top w:val="single" w:sz="8" w:space="0" w:color="FDB933"/>
        <w:left w:val="single" w:sz="8" w:space="0" w:color="FDB933"/>
        <w:bottom w:val="single" w:sz="8" w:space="0" w:color="FDB933"/>
        <w:right w:val="single" w:sz="8" w:space="0" w:color="FDB933"/>
      </w:tblBorders>
    </w:tblPr>
    <w:tblStylePr w:type="firstRow">
      <w:pPr>
        <w:spacing w:before="0" w:after="0" w:line="240" w:lineRule="auto"/>
      </w:pPr>
      <w:rPr>
        <w:b/>
        <w:bCs/>
        <w:color w:val="FFFFFF"/>
      </w:rPr>
      <w:tblPr/>
      <w:tcPr>
        <w:shd w:val="clear" w:color="auto" w:fill="FDB933"/>
      </w:tcPr>
    </w:tblStylePr>
    <w:tblStylePr w:type="lastRow">
      <w:pPr>
        <w:spacing w:before="0" w:after="0" w:line="240" w:lineRule="auto"/>
      </w:pPr>
      <w:rPr>
        <w:b/>
        <w:bCs/>
      </w:rPr>
      <w:tblPr/>
      <w:tcPr>
        <w:tcBorders>
          <w:top w:val="double" w:sz="6" w:space="0" w:color="FDB933"/>
          <w:left w:val="single" w:sz="8" w:space="0" w:color="FDB933"/>
          <w:bottom w:val="single" w:sz="8" w:space="0" w:color="FDB933"/>
          <w:right w:val="single" w:sz="8" w:space="0" w:color="FDB933"/>
        </w:tcBorders>
      </w:tcPr>
    </w:tblStylePr>
    <w:tblStylePr w:type="firstCol">
      <w:rPr>
        <w:b/>
        <w:bCs/>
      </w:rPr>
    </w:tblStylePr>
    <w:tblStylePr w:type="lastCol">
      <w:rPr>
        <w:b/>
        <w:bCs/>
      </w:rPr>
    </w:tblStylePr>
    <w:tblStylePr w:type="band1Vert">
      <w:tblPr/>
      <w:tcPr>
        <w:tcBorders>
          <w:top w:val="single" w:sz="8" w:space="0" w:color="FDB933"/>
          <w:left w:val="single" w:sz="8" w:space="0" w:color="FDB933"/>
          <w:bottom w:val="single" w:sz="8" w:space="0" w:color="FDB933"/>
          <w:right w:val="single" w:sz="8" w:space="0" w:color="FDB933"/>
        </w:tcBorders>
      </w:tcPr>
    </w:tblStylePr>
    <w:tblStylePr w:type="band1Horz">
      <w:tblPr/>
      <w:tcPr>
        <w:tcBorders>
          <w:top w:val="single" w:sz="8" w:space="0" w:color="FDB933"/>
          <w:left w:val="single" w:sz="8" w:space="0" w:color="FDB933"/>
          <w:bottom w:val="single" w:sz="8" w:space="0" w:color="FDB933"/>
          <w:right w:val="single" w:sz="8" w:space="0" w:color="FDB933"/>
        </w:tcBorders>
      </w:tcPr>
    </w:tblStylePr>
  </w:style>
  <w:style w:type="table" w:customStyle="1" w:styleId="LightList-Accent52">
    <w:name w:val="Light List - Accent 52"/>
    <w:basedOn w:val="TableNormal"/>
    <w:next w:val="LightList-Accent5"/>
    <w:uiPriority w:val="61"/>
    <w:semiHidden/>
    <w:unhideWhenUsed/>
    <w:rsid w:val="0057062A"/>
    <w:pPr>
      <w:spacing w:after="0" w:line="240" w:lineRule="auto"/>
    </w:pPr>
    <w:tblPr>
      <w:tblStyleRowBandSize w:val="1"/>
      <w:tblStyleColBandSize w:val="1"/>
      <w:tblBorders>
        <w:top w:val="single" w:sz="8" w:space="0" w:color="6CAD6C"/>
        <w:left w:val="single" w:sz="8" w:space="0" w:color="6CAD6C"/>
        <w:bottom w:val="single" w:sz="8" w:space="0" w:color="6CAD6C"/>
        <w:right w:val="single" w:sz="8" w:space="0" w:color="6CAD6C"/>
      </w:tblBorders>
    </w:tblPr>
    <w:tblStylePr w:type="firstRow">
      <w:pPr>
        <w:spacing w:before="0" w:after="0" w:line="240" w:lineRule="auto"/>
      </w:pPr>
      <w:rPr>
        <w:b/>
        <w:bCs/>
        <w:color w:val="FFFFFF"/>
      </w:rPr>
      <w:tblPr/>
      <w:tcPr>
        <w:shd w:val="clear" w:color="auto" w:fill="6CAD6C"/>
      </w:tcPr>
    </w:tblStylePr>
    <w:tblStylePr w:type="lastRow">
      <w:pPr>
        <w:spacing w:before="0" w:after="0" w:line="240" w:lineRule="auto"/>
      </w:pPr>
      <w:rPr>
        <w:b/>
        <w:bCs/>
      </w:rPr>
      <w:tblPr/>
      <w:tcPr>
        <w:tcBorders>
          <w:top w:val="double" w:sz="6" w:space="0" w:color="6CAD6C"/>
          <w:left w:val="single" w:sz="8" w:space="0" w:color="6CAD6C"/>
          <w:bottom w:val="single" w:sz="8" w:space="0" w:color="6CAD6C"/>
          <w:right w:val="single" w:sz="8" w:space="0" w:color="6CAD6C"/>
        </w:tcBorders>
      </w:tcPr>
    </w:tblStylePr>
    <w:tblStylePr w:type="firstCol">
      <w:rPr>
        <w:b/>
        <w:bCs/>
      </w:rPr>
    </w:tblStylePr>
    <w:tblStylePr w:type="lastCol">
      <w:rPr>
        <w:b/>
        <w:bCs/>
      </w:rPr>
    </w:tblStylePr>
    <w:tblStylePr w:type="band1Vert">
      <w:tblPr/>
      <w:tcPr>
        <w:tcBorders>
          <w:top w:val="single" w:sz="8" w:space="0" w:color="6CAD6C"/>
          <w:left w:val="single" w:sz="8" w:space="0" w:color="6CAD6C"/>
          <w:bottom w:val="single" w:sz="8" w:space="0" w:color="6CAD6C"/>
          <w:right w:val="single" w:sz="8" w:space="0" w:color="6CAD6C"/>
        </w:tcBorders>
      </w:tcPr>
    </w:tblStylePr>
    <w:tblStylePr w:type="band1Horz">
      <w:tblPr/>
      <w:tcPr>
        <w:tcBorders>
          <w:top w:val="single" w:sz="8" w:space="0" w:color="6CAD6C"/>
          <w:left w:val="single" w:sz="8" w:space="0" w:color="6CAD6C"/>
          <w:bottom w:val="single" w:sz="8" w:space="0" w:color="6CAD6C"/>
          <w:right w:val="single" w:sz="8" w:space="0" w:color="6CAD6C"/>
        </w:tcBorders>
      </w:tcPr>
    </w:tblStylePr>
  </w:style>
  <w:style w:type="table" w:customStyle="1" w:styleId="LightList-Accent62">
    <w:name w:val="Light List - Accent 62"/>
    <w:basedOn w:val="TableNormal"/>
    <w:next w:val="LightList-Accent6"/>
    <w:uiPriority w:val="61"/>
    <w:semiHidden/>
    <w:unhideWhenUsed/>
    <w:rsid w:val="0057062A"/>
    <w:pPr>
      <w:spacing w:after="0" w:line="240" w:lineRule="auto"/>
    </w:pPr>
    <w:tblPr>
      <w:tblStyleRowBandSize w:val="1"/>
      <w:tblStyleColBandSize w:val="1"/>
      <w:tblBorders>
        <w:top w:val="single" w:sz="8" w:space="0" w:color="BD2644"/>
        <w:left w:val="single" w:sz="8" w:space="0" w:color="BD2644"/>
        <w:bottom w:val="single" w:sz="8" w:space="0" w:color="BD2644"/>
        <w:right w:val="single" w:sz="8" w:space="0" w:color="BD2644"/>
      </w:tblBorders>
    </w:tblPr>
    <w:tblStylePr w:type="firstRow">
      <w:pPr>
        <w:spacing w:before="0" w:after="0" w:line="240" w:lineRule="auto"/>
      </w:pPr>
      <w:rPr>
        <w:b/>
        <w:bCs/>
        <w:color w:val="FFFFFF"/>
      </w:rPr>
      <w:tblPr/>
      <w:tcPr>
        <w:shd w:val="clear" w:color="auto" w:fill="BD2644"/>
      </w:tcPr>
    </w:tblStylePr>
    <w:tblStylePr w:type="lastRow">
      <w:pPr>
        <w:spacing w:before="0" w:after="0" w:line="240" w:lineRule="auto"/>
      </w:pPr>
      <w:rPr>
        <w:b/>
        <w:bCs/>
      </w:rPr>
      <w:tblPr/>
      <w:tcPr>
        <w:tcBorders>
          <w:top w:val="double" w:sz="6" w:space="0" w:color="BD2644"/>
          <w:left w:val="single" w:sz="8" w:space="0" w:color="BD2644"/>
          <w:bottom w:val="single" w:sz="8" w:space="0" w:color="BD2644"/>
          <w:right w:val="single" w:sz="8" w:space="0" w:color="BD2644"/>
        </w:tcBorders>
      </w:tcPr>
    </w:tblStylePr>
    <w:tblStylePr w:type="firstCol">
      <w:rPr>
        <w:b/>
        <w:bCs/>
      </w:rPr>
    </w:tblStylePr>
    <w:tblStylePr w:type="lastCol">
      <w:rPr>
        <w:b/>
        <w:bCs/>
      </w:rPr>
    </w:tblStylePr>
    <w:tblStylePr w:type="band1Vert">
      <w:tblPr/>
      <w:tcPr>
        <w:tcBorders>
          <w:top w:val="single" w:sz="8" w:space="0" w:color="BD2644"/>
          <w:left w:val="single" w:sz="8" w:space="0" w:color="BD2644"/>
          <w:bottom w:val="single" w:sz="8" w:space="0" w:color="BD2644"/>
          <w:right w:val="single" w:sz="8" w:space="0" w:color="BD2644"/>
        </w:tcBorders>
      </w:tcPr>
    </w:tblStylePr>
    <w:tblStylePr w:type="band1Horz">
      <w:tblPr/>
      <w:tcPr>
        <w:tcBorders>
          <w:top w:val="single" w:sz="8" w:space="0" w:color="BD2644"/>
          <w:left w:val="single" w:sz="8" w:space="0" w:color="BD2644"/>
          <w:bottom w:val="single" w:sz="8" w:space="0" w:color="BD2644"/>
          <w:right w:val="single" w:sz="8" w:space="0" w:color="BD2644"/>
        </w:tcBorders>
      </w:tcPr>
    </w:tblStylePr>
  </w:style>
  <w:style w:type="table" w:customStyle="1" w:styleId="LightShading2">
    <w:name w:val="Light Shading2"/>
    <w:basedOn w:val="TableNormal"/>
    <w:next w:val="LightShading"/>
    <w:uiPriority w:val="60"/>
    <w:semiHidden/>
    <w:unhideWhenUsed/>
    <w:rsid w:val="0057062A"/>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60"/>
    <w:semiHidden/>
    <w:unhideWhenUsed/>
    <w:rsid w:val="0057062A"/>
    <w:pPr>
      <w:spacing w:after="0" w:line="240" w:lineRule="auto"/>
    </w:pPr>
    <w:rPr>
      <w:color w:val="01625D"/>
    </w:rPr>
    <w:tblPr>
      <w:tblStyleRowBandSize w:val="1"/>
      <w:tblStyleColBandSize w:val="1"/>
      <w:tblBorders>
        <w:top w:val="single" w:sz="8" w:space="0" w:color="02847D"/>
        <w:bottom w:val="single" w:sz="8" w:space="0" w:color="02847D"/>
      </w:tblBorders>
    </w:tblPr>
    <w:tblStylePr w:type="firstRow">
      <w:pPr>
        <w:spacing w:before="0" w:after="0" w:line="240" w:lineRule="auto"/>
      </w:pPr>
      <w:rPr>
        <w:b/>
        <w:bCs/>
      </w:rPr>
      <w:tblPr/>
      <w:tcPr>
        <w:tcBorders>
          <w:top w:val="single" w:sz="8" w:space="0" w:color="02847D"/>
          <w:left w:val="nil"/>
          <w:bottom w:val="single" w:sz="8" w:space="0" w:color="02847D"/>
          <w:right w:val="nil"/>
          <w:insideH w:val="nil"/>
          <w:insideV w:val="nil"/>
        </w:tcBorders>
      </w:tcPr>
    </w:tblStylePr>
    <w:tblStylePr w:type="lastRow">
      <w:pPr>
        <w:spacing w:before="0" w:after="0" w:line="240" w:lineRule="auto"/>
      </w:pPr>
      <w:rPr>
        <w:b/>
        <w:bCs/>
      </w:rPr>
      <w:tblPr/>
      <w:tcPr>
        <w:tcBorders>
          <w:top w:val="single" w:sz="8" w:space="0" w:color="02847D"/>
          <w:left w:val="nil"/>
          <w:bottom w:val="single" w:sz="8" w:space="0" w:color="02847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FDF8"/>
      </w:tcPr>
    </w:tblStylePr>
    <w:tblStylePr w:type="band1Horz">
      <w:tblPr/>
      <w:tcPr>
        <w:tcBorders>
          <w:left w:val="nil"/>
          <w:right w:val="nil"/>
          <w:insideH w:val="nil"/>
          <w:insideV w:val="nil"/>
        </w:tcBorders>
        <w:shd w:val="clear" w:color="auto" w:fill="A3FDF8"/>
      </w:tcPr>
    </w:tblStylePr>
  </w:style>
  <w:style w:type="table" w:customStyle="1" w:styleId="LightShading-Accent22">
    <w:name w:val="Light Shading - Accent 22"/>
    <w:basedOn w:val="TableNormal"/>
    <w:next w:val="LightShading-Accent2"/>
    <w:uiPriority w:val="60"/>
    <w:semiHidden/>
    <w:unhideWhenUsed/>
    <w:rsid w:val="0057062A"/>
    <w:pPr>
      <w:spacing w:after="0" w:line="240" w:lineRule="auto"/>
    </w:pPr>
    <w:rPr>
      <w:color w:val="DA3F0E"/>
    </w:rPr>
    <w:tblPr>
      <w:tblStyleRowBandSize w:val="1"/>
      <w:tblStyleColBandSize w:val="1"/>
      <w:tblBorders>
        <w:top w:val="single" w:sz="8" w:space="0" w:color="F36E44"/>
        <w:bottom w:val="single" w:sz="8" w:space="0" w:color="F36E44"/>
      </w:tblBorders>
    </w:tblPr>
    <w:tblStylePr w:type="firstRow">
      <w:pPr>
        <w:spacing w:before="0" w:after="0" w:line="240" w:lineRule="auto"/>
      </w:pPr>
      <w:rPr>
        <w:b/>
        <w:bCs/>
      </w:rPr>
      <w:tblPr/>
      <w:tcPr>
        <w:tcBorders>
          <w:top w:val="single" w:sz="8" w:space="0" w:color="F36E44"/>
          <w:left w:val="nil"/>
          <w:bottom w:val="single" w:sz="8" w:space="0" w:color="F36E44"/>
          <w:right w:val="nil"/>
          <w:insideH w:val="nil"/>
          <w:insideV w:val="nil"/>
        </w:tcBorders>
      </w:tcPr>
    </w:tblStylePr>
    <w:tblStylePr w:type="lastRow">
      <w:pPr>
        <w:spacing w:before="0" w:after="0" w:line="240" w:lineRule="auto"/>
      </w:pPr>
      <w:rPr>
        <w:b/>
        <w:bCs/>
      </w:rPr>
      <w:tblPr/>
      <w:tcPr>
        <w:tcBorders>
          <w:top w:val="single" w:sz="8" w:space="0" w:color="F36E44"/>
          <w:left w:val="nil"/>
          <w:bottom w:val="single" w:sz="8" w:space="0" w:color="F36E4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D0"/>
      </w:tcPr>
    </w:tblStylePr>
    <w:tblStylePr w:type="band1Horz">
      <w:tblPr/>
      <w:tcPr>
        <w:tcBorders>
          <w:left w:val="nil"/>
          <w:right w:val="nil"/>
          <w:insideH w:val="nil"/>
          <w:insideV w:val="nil"/>
        </w:tcBorders>
        <w:shd w:val="clear" w:color="auto" w:fill="FCDAD0"/>
      </w:tcPr>
    </w:tblStylePr>
  </w:style>
  <w:style w:type="table" w:customStyle="1" w:styleId="LightShading-Accent32">
    <w:name w:val="Light Shading - Accent 32"/>
    <w:basedOn w:val="TableNormal"/>
    <w:next w:val="LightShading-Accent3"/>
    <w:uiPriority w:val="60"/>
    <w:semiHidden/>
    <w:unhideWhenUsed/>
    <w:rsid w:val="0057062A"/>
    <w:pPr>
      <w:spacing w:after="0" w:line="240" w:lineRule="auto"/>
    </w:pPr>
    <w:rPr>
      <w:color w:val="3B9490"/>
    </w:rPr>
    <w:tblPr>
      <w:tblStyleRowBandSize w:val="1"/>
      <w:tblStyleColBandSize w:val="1"/>
      <w:tblBorders>
        <w:top w:val="single" w:sz="8" w:space="0" w:color="59BDB8"/>
        <w:bottom w:val="single" w:sz="8" w:space="0" w:color="59BDB8"/>
      </w:tblBorders>
    </w:tblPr>
    <w:tblStylePr w:type="firstRow">
      <w:pPr>
        <w:spacing w:before="0" w:after="0" w:line="240" w:lineRule="auto"/>
      </w:pPr>
      <w:rPr>
        <w:b/>
        <w:bCs/>
      </w:rPr>
      <w:tblPr/>
      <w:tcPr>
        <w:tcBorders>
          <w:top w:val="single" w:sz="8" w:space="0" w:color="59BDB8"/>
          <w:left w:val="nil"/>
          <w:bottom w:val="single" w:sz="8" w:space="0" w:color="59BDB8"/>
          <w:right w:val="nil"/>
          <w:insideH w:val="nil"/>
          <w:insideV w:val="nil"/>
        </w:tcBorders>
      </w:tcPr>
    </w:tblStylePr>
    <w:tblStylePr w:type="lastRow">
      <w:pPr>
        <w:spacing w:before="0" w:after="0" w:line="240" w:lineRule="auto"/>
      </w:pPr>
      <w:rPr>
        <w:b/>
        <w:bCs/>
      </w:rPr>
      <w:tblPr/>
      <w:tcPr>
        <w:tcBorders>
          <w:top w:val="single" w:sz="8" w:space="0" w:color="59BDB8"/>
          <w:left w:val="nil"/>
          <w:bottom w:val="single" w:sz="8" w:space="0" w:color="59BDB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EED"/>
      </w:tcPr>
    </w:tblStylePr>
    <w:tblStylePr w:type="band1Horz">
      <w:tblPr/>
      <w:tcPr>
        <w:tcBorders>
          <w:left w:val="nil"/>
          <w:right w:val="nil"/>
          <w:insideH w:val="nil"/>
          <w:insideV w:val="nil"/>
        </w:tcBorders>
        <w:shd w:val="clear" w:color="auto" w:fill="D5EEED"/>
      </w:tcPr>
    </w:tblStylePr>
  </w:style>
  <w:style w:type="table" w:customStyle="1" w:styleId="LightShading-Accent42">
    <w:name w:val="Light Shading - Accent 42"/>
    <w:basedOn w:val="TableNormal"/>
    <w:next w:val="LightShading-Accent4"/>
    <w:uiPriority w:val="60"/>
    <w:semiHidden/>
    <w:unhideWhenUsed/>
    <w:rsid w:val="0057062A"/>
    <w:pPr>
      <w:spacing w:after="0" w:line="240" w:lineRule="auto"/>
    </w:pPr>
    <w:rPr>
      <w:color w:val="E19602"/>
    </w:rPr>
    <w:tblPr>
      <w:tblStyleRowBandSize w:val="1"/>
      <w:tblStyleColBandSize w:val="1"/>
      <w:tblBorders>
        <w:top w:val="single" w:sz="8" w:space="0" w:color="FDB933"/>
        <w:bottom w:val="single" w:sz="8" w:space="0" w:color="FDB933"/>
      </w:tblBorders>
    </w:tblPr>
    <w:tblStylePr w:type="firstRow">
      <w:pPr>
        <w:spacing w:before="0" w:after="0" w:line="240" w:lineRule="auto"/>
      </w:pPr>
      <w:rPr>
        <w:b/>
        <w:bCs/>
      </w:rPr>
      <w:tblPr/>
      <w:tcPr>
        <w:tcBorders>
          <w:top w:val="single" w:sz="8" w:space="0" w:color="FDB933"/>
          <w:left w:val="nil"/>
          <w:bottom w:val="single" w:sz="8" w:space="0" w:color="FDB933"/>
          <w:right w:val="nil"/>
          <w:insideH w:val="nil"/>
          <w:insideV w:val="nil"/>
        </w:tcBorders>
      </w:tcPr>
    </w:tblStylePr>
    <w:tblStylePr w:type="lastRow">
      <w:pPr>
        <w:spacing w:before="0" w:after="0" w:line="240" w:lineRule="auto"/>
      </w:pPr>
      <w:rPr>
        <w:b/>
        <w:bCs/>
      </w:rPr>
      <w:tblPr/>
      <w:tcPr>
        <w:tcBorders>
          <w:top w:val="single" w:sz="8" w:space="0" w:color="FDB933"/>
          <w:left w:val="nil"/>
          <w:bottom w:val="single" w:sz="8" w:space="0" w:color="FDB93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DCC"/>
      </w:tcPr>
    </w:tblStylePr>
    <w:tblStylePr w:type="band1Horz">
      <w:tblPr/>
      <w:tcPr>
        <w:tcBorders>
          <w:left w:val="nil"/>
          <w:right w:val="nil"/>
          <w:insideH w:val="nil"/>
          <w:insideV w:val="nil"/>
        </w:tcBorders>
        <w:shd w:val="clear" w:color="auto" w:fill="FEEDCC"/>
      </w:tcPr>
    </w:tblStylePr>
  </w:style>
  <w:style w:type="table" w:customStyle="1" w:styleId="LightShading-Accent52">
    <w:name w:val="Light Shading - Accent 52"/>
    <w:basedOn w:val="TableNormal"/>
    <w:next w:val="LightShading-Accent5"/>
    <w:uiPriority w:val="60"/>
    <w:semiHidden/>
    <w:unhideWhenUsed/>
    <w:rsid w:val="0057062A"/>
    <w:pPr>
      <w:spacing w:after="0" w:line="240" w:lineRule="auto"/>
    </w:pPr>
    <w:rPr>
      <w:color w:val="4B864B"/>
    </w:rPr>
    <w:tblPr>
      <w:tblStyleRowBandSize w:val="1"/>
      <w:tblStyleColBandSize w:val="1"/>
      <w:tblBorders>
        <w:top w:val="single" w:sz="8" w:space="0" w:color="6CAD6C"/>
        <w:bottom w:val="single" w:sz="8" w:space="0" w:color="6CAD6C"/>
      </w:tblBorders>
    </w:tblPr>
    <w:tblStylePr w:type="firstRow">
      <w:pPr>
        <w:spacing w:before="0" w:after="0" w:line="240" w:lineRule="auto"/>
      </w:pPr>
      <w:rPr>
        <w:b/>
        <w:bCs/>
      </w:rPr>
      <w:tblPr/>
      <w:tcPr>
        <w:tcBorders>
          <w:top w:val="single" w:sz="8" w:space="0" w:color="6CAD6C"/>
          <w:left w:val="nil"/>
          <w:bottom w:val="single" w:sz="8" w:space="0" w:color="6CAD6C"/>
          <w:right w:val="nil"/>
          <w:insideH w:val="nil"/>
          <w:insideV w:val="nil"/>
        </w:tcBorders>
      </w:tcPr>
    </w:tblStylePr>
    <w:tblStylePr w:type="lastRow">
      <w:pPr>
        <w:spacing w:before="0" w:after="0" w:line="240" w:lineRule="auto"/>
      </w:pPr>
      <w:rPr>
        <w:b/>
        <w:bCs/>
      </w:rPr>
      <w:tblPr/>
      <w:tcPr>
        <w:tcBorders>
          <w:top w:val="single" w:sz="8" w:space="0" w:color="6CAD6C"/>
          <w:left w:val="nil"/>
          <w:bottom w:val="single" w:sz="8" w:space="0" w:color="6CAD6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ADA"/>
      </w:tcPr>
    </w:tblStylePr>
    <w:tblStylePr w:type="band1Horz">
      <w:tblPr/>
      <w:tcPr>
        <w:tcBorders>
          <w:left w:val="nil"/>
          <w:right w:val="nil"/>
          <w:insideH w:val="nil"/>
          <w:insideV w:val="nil"/>
        </w:tcBorders>
        <w:shd w:val="clear" w:color="auto" w:fill="DAEADA"/>
      </w:tcPr>
    </w:tblStylePr>
  </w:style>
  <w:style w:type="table" w:customStyle="1" w:styleId="LightShading-Accent62">
    <w:name w:val="Light Shading - Accent 62"/>
    <w:basedOn w:val="TableNormal"/>
    <w:next w:val="LightShading-Accent6"/>
    <w:uiPriority w:val="60"/>
    <w:semiHidden/>
    <w:unhideWhenUsed/>
    <w:rsid w:val="0057062A"/>
    <w:pPr>
      <w:spacing w:after="0" w:line="240" w:lineRule="auto"/>
    </w:pPr>
    <w:rPr>
      <w:color w:val="8D1C32"/>
    </w:rPr>
    <w:tblPr>
      <w:tblStyleRowBandSize w:val="1"/>
      <w:tblStyleColBandSize w:val="1"/>
      <w:tblBorders>
        <w:top w:val="single" w:sz="8" w:space="0" w:color="BD2644"/>
        <w:bottom w:val="single" w:sz="8" w:space="0" w:color="BD2644"/>
      </w:tblBorders>
    </w:tblPr>
    <w:tblStylePr w:type="firstRow">
      <w:pPr>
        <w:spacing w:before="0" w:after="0" w:line="240" w:lineRule="auto"/>
      </w:pPr>
      <w:rPr>
        <w:b/>
        <w:bCs/>
      </w:rPr>
      <w:tblPr/>
      <w:tcPr>
        <w:tcBorders>
          <w:top w:val="single" w:sz="8" w:space="0" w:color="BD2644"/>
          <w:left w:val="nil"/>
          <w:bottom w:val="single" w:sz="8" w:space="0" w:color="BD2644"/>
          <w:right w:val="nil"/>
          <w:insideH w:val="nil"/>
          <w:insideV w:val="nil"/>
        </w:tcBorders>
      </w:tcPr>
    </w:tblStylePr>
    <w:tblStylePr w:type="lastRow">
      <w:pPr>
        <w:spacing w:before="0" w:after="0" w:line="240" w:lineRule="auto"/>
      </w:pPr>
      <w:rPr>
        <w:b/>
        <w:bCs/>
      </w:rPr>
      <w:tblPr/>
      <w:tcPr>
        <w:tcBorders>
          <w:top w:val="single" w:sz="8" w:space="0" w:color="BD2644"/>
          <w:left w:val="nil"/>
          <w:bottom w:val="single" w:sz="8" w:space="0" w:color="BD264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C4CD"/>
      </w:tcPr>
    </w:tblStylePr>
    <w:tblStylePr w:type="band1Horz">
      <w:tblPr/>
      <w:tcPr>
        <w:tcBorders>
          <w:left w:val="nil"/>
          <w:right w:val="nil"/>
          <w:insideH w:val="nil"/>
          <w:insideV w:val="nil"/>
        </w:tcBorders>
        <w:shd w:val="clear" w:color="auto" w:fill="F3C4CD"/>
      </w:tcPr>
    </w:tblStylePr>
  </w:style>
  <w:style w:type="table" w:customStyle="1" w:styleId="ListTable1Light2">
    <w:name w:val="List Table 1 Light2"/>
    <w:basedOn w:val="TableNormal"/>
    <w:next w:val="ListTable1Light"/>
    <w:uiPriority w:val="46"/>
    <w:rsid w:val="0057062A"/>
    <w:pPr>
      <w:spacing w:after="0" w:line="240" w:lineRule="auto"/>
    </w:p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2">
    <w:name w:val="List Table 1 Light - Accent 12"/>
    <w:basedOn w:val="TableNormal"/>
    <w:next w:val="ListTable1Light-Accent1"/>
    <w:uiPriority w:val="46"/>
    <w:rsid w:val="0057062A"/>
    <w:pPr>
      <w:spacing w:after="0" w:line="240" w:lineRule="auto"/>
    </w:pPr>
    <w:tblPr>
      <w:tblStyleRowBandSize w:val="1"/>
      <w:tblStyleColBandSize w:val="1"/>
    </w:tblPr>
    <w:tblStylePr w:type="firstRow">
      <w:rPr>
        <w:b/>
        <w:bCs/>
      </w:rPr>
      <w:tblPr/>
      <w:tcPr>
        <w:tcBorders>
          <w:bottom w:val="single" w:sz="4" w:space="0" w:color="20FBEF"/>
        </w:tcBorders>
      </w:tcPr>
    </w:tblStylePr>
    <w:tblStylePr w:type="lastRow">
      <w:rPr>
        <w:b/>
        <w:bCs/>
      </w:rPr>
      <w:tblPr/>
      <w:tcPr>
        <w:tcBorders>
          <w:top w:val="single" w:sz="4" w:space="0" w:color="20FBEF"/>
        </w:tcBorders>
      </w:tcPr>
    </w:tblStylePr>
    <w:tblStylePr w:type="firstCol">
      <w:rPr>
        <w:b/>
        <w:bCs/>
      </w:rPr>
    </w:tblStylePr>
    <w:tblStylePr w:type="lastCol">
      <w:rPr>
        <w:b/>
        <w:bCs/>
      </w:rPr>
    </w:tblStylePr>
    <w:tblStylePr w:type="band1Vert">
      <w:tblPr/>
      <w:tcPr>
        <w:shd w:val="clear" w:color="auto" w:fill="B4FEF9"/>
      </w:tcPr>
    </w:tblStylePr>
    <w:tblStylePr w:type="band1Horz">
      <w:tblPr/>
      <w:tcPr>
        <w:shd w:val="clear" w:color="auto" w:fill="B4FEF9"/>
      </w:tcPr>
    </w:tblStylePr>
  </w:style>
  <w:style w:type="table" w:customStyle="1" w:styleId="ListTable1Light-Accent22">
    <w:name w:val="List Table 1 Light - Accent 22"/>
    <w:basedOn w:val="TableNormal"/>
    <w:next w:val="ListTable1Light-Accent2"/>
    <w:uiPriority w:val="46"/>
    <w:rsid w:val="0057062A"/>
    <w:pPr>
      <w:spacing w:after="0" w:line="240" w:lineRule="auto"/>
    </w:pPr>
    <w:tblPr>
      <w:tblStyleRowBandSize w:val="1"/>
      <w:tblStyleColBandSize w:val="1"/>
    </w:tblPr>
    <w:tblStylePr w:type="firstRow">
      <w:rPr>
        <w:b/>
        <w:bCs/>
      </w:rPr>
      <w:tblPr/>
      <w:tcPr>
        <w:tcBorders>
          <w:bottom w:val="single" w:sz="4" w:space="0" w:color="F7A78E"/>
        </w:tcBorders>
      </w:tcPr>
    </w:tblStylePr>
    <w:tblStylePr w:type="lastRow">
      <w:rPr>
        <w:b/>
        <w:bCs/>
      </w:rPr>
      <w:tblPr/>
      <w:tcPr>
        <w:tcBorders>
          <w:top w:val="single" w:sz="4" w:space="0" w:color="F7A78E"/>
        </w:tcBorders>
      </w:tcPr>
    </w:tblStylePr>
    <w:tblStylePr w:type="firstCol">
      <w:rPr>
        <w:b/>
        <w:bCs/>
      </w:rPr>
    </w:tblStylePr>
    <w:tblStylePr w:type="lastCol">
      <w:rPr>
        <w:b/>
        <w:bCs/>
      </w:rPr>
    </w:tblStylePr>
    <w:tblStylePr w:type="band1Vert">
      <w:tblPr/>
      <w:tcPr>
        <w:shd w:val="clear" w:color="auto" w:fill="FCE1D9"/>
      </w:tcPr>
    </w:tblStylePr>
    <w:tblStylePr w:type="band1Horz">
      <w:tblPr/>
      <w:tcPr>
        <w:shd w:val="clear" w:color="auto" w:fill="FCE1D9"/>
      </w:tcPr>
    </w:tblStylePr>
  </w:style>
  <w:style w:type="table" w:customStyle="1" w:styleId="ListTable1Light-Accent32">
    <w:name w:val="List Table 1 Light - Accent 32"/>
    <w:basedOn w:val="TableNormal"/>
    <w:next w:val="ListTable1Light-Accent3"/>
    <w:uiPriority w:val="46"/>
    <w:rsid w:val="0057062A"/>
    <w:pPr>
      <w:spacing w:after="0" w:line="240" w:lineRule="auto"/>
    </w:pPr>
    <w:tblPr>
      <w:tblStyleRowBandSize w:val="1"/>
      <w:tblStyleColBandSize w:val="1"/>
    </w:tblPr>
    <w:tblStylePr w:type="firstRow">
      <w:rPr>
        <w:b/>
        <w:bCs/>
      </w:rPr>
      <w:tblPr/>
      <w:tcPr>
        <w:tcBorders>
          <w:bottom w:val="single" w:sz="4" w:space="0" w:color="9BD7D4"/>
        </w:tcBorders>
      </w:tcPr>
    </w:tblStylePr>
    <w:tblStylePr w:type="lastRow">
      <w:rPr>
        <w:b/>
        <w:bCs/>
      </w:rPr>
      <w:tblPr/>
      <w:tcPr>
        <w:tcBorders>
          <w:top w:val="single" w:sz="4" w:space="0" w:color="9BD7D4"/>
        </w:tcBorders>
      </w:tcPr>
    </w:tblStylePr>
    <w:tblStylePr w:type="firstCol">
      <w:rPr>
        <w:b/>
        <w:bCs/>
      </w:rPr>
    </w:tblStylePr>
    <w:tblStylePr w:type="lastCol">
      <w:rPr>
        <w:b/>
        <w:bCs/>
      </w:rPr>
    </w:tblStylePr>
    <w:tblStylePr w:type="band1Vert">
      <w:tblPr/>
      <w:tcPr>
        <w:shd w:val="clear" w:color="auto" w:fill="DDF1F0"/>
      </w:tcPr>
    </w:tblStylePr>
    <w:tblStylePr w:type="band1Horz">
      <w:tblPr/>
      <w:tcPr>
        <w:shd w:val="clear" w:color="auto" w:fill="DDF1F0"/>
      </w:tcPr>
    </w:tblStylePr>
  </w:style>
  <w:style w:type="table" w:customStyle="1" w:styleId="ListTable1Light-Accent42">
    <w:name w:val="List Table 1 Light - Accent 42"/>
    <w:basedOn w:val="TableNormal"/>
    <w:next w:val="ListTable1Light-Accent4"/>
    <w:uiPriority w:val="46"/>
    <w:rsid w:val="0057062A"/>
    <w:pPr>
      <w:spacing w:after="0" w:line="240" w:lineRule="auto"/>
    </w:pPr>
    <w:tblPr>
      <w:tblStyleRowBandSize w:val="1"/>
      <w:tblStyleColBandSize w:val="1"/>
    </w:tblPr>
    <w:tblStylePr w:type="firstRow">
      <w:rPr>
        <w:b/>
        <w:bCs/>
      </w:rPr>
      <w:tblPr/>
      <w:tcPr>
        <w:tcBorders>
          <w:bottom w:val="single" w:sz="4" w:space="0" w:color="FDD484"/>
        </w:tcBorders>
      </w:tcPr>
    </w:tblStylePr>
    <w:tblStylePr w:type="lastRow">
      <w:rPr>
        <w:b/>
        <w:bCs/>
      </w:rPr>
      <w:tblPr/>
      <w:tcPr>
        <w:tcBorders>
          <w:top w:val="single" w:sz="4" w:space="0" w:color="FDD484"/>
        </w:tcBorders>
      </w:tcPr>
    </w:tblStylePr>
    <w:tblStylePr w:type="firstCol">
      <w:rPr>
        <w:b/>
        <w:bCs/>
      </w:rPr>
    </w:tblStylePr>
    <w:tblStylePr w:type="lastCol">
      <w:rPr>
        <w:b/>
        <w:bCs/>
      </w:rPr>
    </w:tblStylePr>
    <w:tblStylePr w:type="band1Vert">
      <w:tblPr/>
      <w:tcPr>
        <w:shd w:val="clear" w:color="auto" w:fill="FEF0D6"/>
      </w:tcPr>
    </w:tblStylePr>
    <w:tblStylePr w:type="band1Horz">
      <w:tblPr/>
      <w:tcPr>
        <w:shd w:val="clear" w:color="auto" w:fill="FEF0D6"/>
      </w:tcPr>
    </w:tblStylePr>
  </w:style>
  <w:style w:type="table" w:customStyle="1" w:styleId="ListTable1Light-Accent52">
    <w:name w:val="List Table 1 Light - Accent 52"/>
    <w:basedOn w:val="TableNormal"/>
    <w:next w:val="ListTable1Light-Accent5"/>
    <w:uiPriority w:val="46"/>
    <w:rsid w:val="0057062A"/>
    <w:pPr>
      <w:spacing w:after="0" w:line="240" w:lineRule="auto"/>
    </w:pPr>
    <w:tblPr>
      <w:tblStyleRowBandSize w:val="1"/>
      <w:tblStyleColBandSize w:val="1"/>
    </w:tblPr>
    <w:tblStylePr w:type="firstRow">
      <w:rPr>
        <w:b/>
        <w:bCs/>
      </w:rPr>
      <w:tblPr/>
      <w:tcPr>
        <w:tcBorders>
          <w:bottom w:val="single" w:sz="4" w:space="0" w:color="A6CDA6"/>
        </w:tcBorders>
      </w:tcPr>
    </w:tblStylePr>
    <w:tblStylePr w:type="lastRow">
      <w:rPr>
        <w:b/>
        <w:bCs/>
      </w:rPr>
      <w:tblPr/>
      <w:tcPr>
        <w:tcBorders>
          <w:top w:val="single" w:sz="4" w:space="0" w:color="A6CDA6"/>
        </w:tcBorders>
      </w:tcPr>
    </w:tblStylePr>
    <w:tblStylePr w:type="firstCol">
      <w:rPr>
        <w:b/>
        <w:bCs/>
      </w:rPr>
    </w:tblStylePr>
    <w:tblStylePr w:type="lastCol">
      <w:rPr>
        <w:b/>
        <w:bCs/>
      </w:rPr>
    </w:tblStylePr>
    <w:tblStylePr w:type="band1Vert">
      <w:tblPr/>
      <w:tcPr>
        <w:shd w:val="clear" w:color="auto" w:fill="E1EEE1"/>
      </w:tcPr>
    </w:tblStylePr>
    <w:tblStylePr w:type="band1Horz">
      <w:tblPr/>
      <w:tcPr>
        <w:shd w:val="clear" w:color="auto" w:fill="E1EEE1"/>
      </w:tcPr>
    </w:tblStylePr>
  </w:style>
  <w:style w:type="table" w:customStyle="1" w:styleId="ListTable1Light-Accent62">
    <w:name w:val="List Table 1 Light - Accent 62"/>
    <w:basedOn w:val="TableNormal"/>
    <w:next w:val="ListTable1Light-Accent6"/>
    <w:uiPriority w:val="46"/>
    <w:rsid w:val="0057062A"/>
    <w:pPr>
      <w:spacing w:after="0" w:line="240" w:lineRule="auto"/>
    </w:pPr>
    <w:tblPr>
      <w:tblStyleRowBandSize w:val="1"/>
      <w:tblStyleColBandSize w:val="1"/>
    </w:tblPr>
    <w:tblStylePr w:type="firstRow">
      <w:rPr>
        <w:b/>
        <w:bCs/>
      </w:rPr>
      <w:tblPr/>
      <w:tcPr>
        <w:tcBorders>
          <w:bottom w:val="single" w:sz="4" w:space="0" w:color="E27187"/>
        </w:tcBorders>
      </w:tcPr>
    </w:tblStylePr>
    <w:tblStylePr w:type="lastRow">
      <w:rPr>
        <w:b/>
        <w:bCs/>
      </w:rPr>
      <w:tblPr/>
      <w:tcPr>
        <w:tcBorders>
          <w:top w:val="single" w:sz="4" w:space="0" w:color="E27187"/>
        </w:tcBorders>
      </w:tcPr>
    </w:tblStylePr>
    <w:tblStylePr w:type="firstCol">
      <w:rPr>
        <w:b/>
        <w:bCs/>
      </w:rPr>
    </w:tblStylePr>
    <w:tblStylePr w:type="lastCol">
      <w:rPr>
        <w:b/>
        <w:bCs/>
      </w:rPr>
    </w:tblStylePr>
    <w:tblStylePr w:type="band1Vert">
      <w:tblPr/>
      <w:tcPr>
        <w:shd w:val="clear" w:color="auto" w:fill="F5CFD7"/>
      </w:tcPr>
    </w:tblStylePr>
    <w:tblStylePr w:type="band1Horz">
      <w:tblPr/>
      <w:tcPr>
        <w:shd w:val="clear" w:color="auto" w:fill="F5CFD7"/>
      </w:tcPr>
    </w:tblStylePr>
  </w:style>
  <w:style w:type="table" w:customStyle="1" w:styleId="ListTable22">
    <w:name w:val="List Table 22"/>
    <w:basedOn w:val="TableNormal"/>
    <w:next w:val="ListTable2"/>
    <w:uiPriority w:val="47"/>
    <w:rsid w:val="0057062A"/>
    <w:pPr>
      <w:spacing w:after="0" w:line="240" w:lineRule="auto"/>
    </w:p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2">
    <w:name w:val="List Table 2 - Accent 12"/>
    <w:basedOn w:val="TableNormal"/>
    <w:next w:val="ListTable2-Accent1"/>
    <w:uiPriority w:val="47"/>
    <w:rsid w:val="0057062A"/>
    <w:pPr>
      <w:spacing w:after="0" w:line="240" w:lineRule="auto"/>
    </w:pPr>
    <w:tblPr>
      <w:tblStyleRowBandSize w:val="1"/>
      <w:tblStyleColBandSize w:val="1"/>
      <w:tblBorders>
        <w:top w:val="single" w:sz="4" w:space="0" w:color="20FBEF"/>
        <w:bottom w:val="single" w:sz="4" w:space="0" w:color="20FBEF"/>
        <w:insideH w:val="single" w:sz="4" w:space="0" w:color="20FBE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FEF9"/>
      </w:tcPr>
    </w:tblStylePr>
    <w:tblStylePr w:type="band1Horz">
      <w:tblPr/>
      <w:tcPr>
        <w:shd w:val="clear" w:color="auto" w:fill="B4FEF9"/>
      </w:tcPr>
    </w:tblStylePr>
  </w:style>
  <w:style w:type="table" w:customStyle="1" w:styleId="ListTable2-Accent22">
    <w:name w:val="List Table 2 - Accent 22"/>
    <w:basedOn w:val="TableNormal"/>
    <w:next w:val="ListTable2-Accent2"/>
    <w:uiPriority w:val="47"/>
    <w:rsid w:val="0057062A"/>
    <w:pPr>
      <w:spacing w:after="0" w:line="240" w:lineRule="auto"/>
    </w:pPr>
    <w:tblPr>
      <w:tblStyleRowBandSize w:val="1"/>
      <w:tblStyleColBandSize w:val="1"/>
      <w:tblBorders>
        <w:top w:val="single" w:sz="4" w:space="0" w:color="F7A78E"/>
        <w:bottom w:val="single" w:sz="4" w:space="0" w:color="F7A78E"/>
        <w:insideH w:val="single" w:sz="4" w:space="0" w:color="F7A78E"/>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1D9"/>
      </w:tcPr>
    </w:tblStylePr>
    <w:tblStylePr w:type="band1Horz">
      <w:tblPr/>
      <w:tcPr>
        <w:shd w:val="clear" w:color="auto" w:fill="FCE1D9"/>
      </w:tcPr>
    </w:tblStylePr>
  </w:style>
  <w:style w:type="table" w:customStyle="1" w:styleId="ListTable2-Accent32">
    <w:name w:val="List Table 2 - Accent 32"/>
    <w:basedOn w:val="TableNormal"/>
    <w:next w:val="ListTable2-Accent3"/>
    <w:uiPriority w:val="47"/>
    <w:rsid w:val="0057062A"/>
    <w:pPr>
      <w:spacing w:after="0" w:line="240" w:lineRule="auto"/>
    </w:pPr>
    <w:tblPr>
      <w:tblStyleRowBandSize w:val="1"/>
      <w:tblStyleColBandSize w:val="1"/>
      <w:tblBorders>
        <w:top w:val="single" w:sz="4" w:space="0" w:color="9BD7D4"/>
        <w:bottom w:val="single" w:sz="4" w:space="0" w:color="9BD7D4"/>
        <w:insideH w:val="single" w:sz="4" w:space="0" w:color="9BD7D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F1F0"/>
      </w:tcPr>
    </w:tblStylePr>
    <w:tblStylePr w:type="band1Horz">
      <w:tblPr/>
      <w:tcPr>
        <w:shd w:val="clear" w:color="auto" w:fill="DDF1F0"/>
      </w:tcPr>
    </w:tblStylePr>
  </w:style>
  <w:style w:type="table" w:customStyle="1" w:styleId="ListTable2-Accent42">
    <w:name w:val="List Table 2 - Accent 42"/>
    <w:basedOn w:val="TableNormal"/>
    <w:next w:val="ListTable2-Accent4"/>
    <w:uiPriority w:val="47"/>
    <w:rsid w:val="0057062A"/>
    <w:pPr>
      <w:spacing w:after="0" w:line="240" w:lineRule="auto"/>
    </w:pPr>
    <w:tblPr>
      <w:tblStyleRowBandSize w:val="1"/>
      <w:tblStyleColBandSize w:val="1"/>
      <w:tblBorders>
        <w:top w:val="single" w:sz="4" w:space="0" w:color="FDD484"/>
        <w:bottom w:val="single" w:sz="4" w:space="0" w:color="FDD484"/>
        <w:insideH w:val="single" w:sz="4" w:space="0" w:color="FDD48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0D6"/>
      </w:tcPr>
    </w:tblStylePr>
    <w:tblStylePr w:type="band1Horz">
      <w:tblPr/>
      <w:tcPr>
        <w:shd w:val="clear" w:color="auto" w:fill="FEF0D6"/>
      </w:tcPr>
    </w:tblStylePr>
  </w:style>
  <w:style w:type="table" w:customStyle="1" w:styleId="ListTable2-Accent52">
    <w:name w:val="List Table 2 - Accent 52"/>
    <w:basedOn w:val="TableNormal"/>
    <w:next w:val="ListTable2-Accent5"/>
    <w:uiPriority w:val="47"/>
    <w:rsid w:val="0057062A"/>
    <w:pPr>
      <w:spacing w:after="0" w:line="240" w:lineRule="auto"/>
    </w:pPr>
    <w:tblPr>
      <w:tblStyleRowBandSize w:val="1"/>
      <w:tblStyleColBandSize w:val="1"/>
      <w:tblBorders>
        <w:top w:val="single" w:sz="4" w:space="0" w:color="A6CDA6"/>
        <w:bottom w:val="single" w:sz="4" w:space="0" w:color="A6CDA6"/>
        <w:insideH w:val="single" w:sz="4" w:space="0" w:color="A6CDA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EE1"/>
      </w:tcPr>
    </w:tblStylePr>
    <w:tblStylePr w:type="band1Horz">
      <w:tblPr/>
      <w:tcPr>
        <w:shd w:val="clear" w:color="auto" w:fill="E1EEE1"/>
      </w:tcPr>
    </w:tblStylePr>
  </w:style>
  <w:style w:type="table" w:customStyle="1" w:styleId="ListTable2-Accent62">
    <w:name w:val="List Table 2 - Accent 62"/>
    <w:basedOn w:val="TableNormal"/>
    <w:next w:val="ListTable2-Accent6"/>
    <w:uiPriority w:val="47"/>
    <w:rsid w:val="0057062A"/>
    <w:pPr>
      <w:spacing w:after="0" w:line="240" w:lineRule="auto"/>
    </w:pPr>
    <w:tblPr>
      <w:tblStyleRowBandSize w:val="1"/>
      <w:tblStyleColBandSize w:val="1"/>
      <w:tblBorders>
        <w:top w:val="single" w:sz="4" w:space="0" w:color="E27187"/>
        <w:bottom w:val="single" w:sz="4" w:space="0" w:color="E27187"/>
        <w:insideH w:val="single" w:sz="4" w:space="0" w:color="E2718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CFD7"/>
      </w:tcPr>
    </w:tblStylePr>
    <w:tblStylePr w:type="band1Horz">
      <w:tblPr/>
      <w:tcPr>
        <w:shd w:val="clear" w:color="auto" w:fill="F5CFD7"/>
      </w:tcPr>
    </w:tblStylePr>
  </w:style>
  <w:style w:type="table" w:customStyle="1" w:styleId="ListTable32">
    <w:name w:val="List Table 32"/>
    <w:basedOn w:val="TableNormal"/>
    <w:next w:val="ListTable3"/>
    <w:uiPriority w:val="48"/>
    <w:rsid w:val="0057062A"/>
    <w:pPr>
      <w:spacing w:after="0" w:line="240" w:lineRule="auto"/>
    </w:p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2">
    <w:name w:val="List Table 3 - Accent 12"/>
    <w:basedOn w:val="TableNormal"/>
    <w:next w:val="ListTable3-Accent1"/>
    <w:uiPriority w:val="48"/>
    <w:rsid w:val="0057062A"/>
    <w:pPr>
      <w:spacing w:after="0" w:line="240" w:lineRule="auto"/>
    </w:pPr>
    <w:tblPr>
      <w:tblStyleRowBandSize w:val="1"/>
      <w:tblStyleColBandSize w:val="1"/>
      <w:tblBorders>
        <w:top w:val="single" w:sz="4" w:space="0" w:color="02847D"/>
        <w:left w:val="single" w:sz="4" w:space="0" w:color="02847D"/>
        <w:bottom w:val="single" w:sz="4" w:space="0" w:color="02847D"/>
        <w:right w:val="single" w:sz="4" w:space="0" w:color="02847D"/>
      </w:tblBorders>
    </w:tblPr>
    <w:tblStylePr w:type="firstRow">
      <w:rPr>
        <w:b/>
        <w:bCs/>
        <w:color w:val="FFFFFF"/>
      </w:rPr>
      <w:tblPr/>
      <w:tcPr>
        <w:shd w:val="clear" w:color="auto" w:fill="02847D"/>
      </w:tcPr>
    </w:tblStylePr>
    <w:tblStylePr w:type="lastRow">
      <w:rPr>
        <w:b/>
        <w:bCs/>
      </w:rPr>
      <w:tblPr/>
      <w:tcPr>
        <w:tcBorders>
          <w:top w:val="double" w:sz="4" w:space="0" w:color="02847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2847D"/>
          <w:right w:val="single" w:sz="4" w:space="0" w:color="02847D"/>
        </w:tcBorders>
      </w:tcPr>
    </w:tblStylePr>
    <w:tblStylePr w:type="band1Horz">
      <w:tblPr/>
      <w:tcPr>
        <w:tcBorders>
          <w:top w:val="single" w:sz="4" w:space="0" w:color="02847D"/>
          <w:bottom w:val="single" w:sz="4" w:space="0" w:color="02847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2847D"/>
          <w:left w:val="nil"/>
        </w:tcBorders>
      </w:tcPr>
    </w:tblStylePr>
    <w:tblStylePr w:type="swCell">
      <w:tblPr/>
      <w:tcPr>
        <w:tcBorders>
          <w:top w:val="double" w:sz="4" w:space="0" w:color="02847D"/>
          <w:right w:val="nil"/>
        </w:tcBorders>
      </w:tcPr>
    </w:tblStylePr>
  </w:style>
  <w:style w:type="table" w:customStyle="1" w:styleId="ListTable3-Accent22">
    <w:name w:val="List Table 3 - Accent 22"/>
    <w:basedOn w:val="TableNormal"/>
    <w:next w:val="ListTable3-Accent2"/>
    <w:uiPriority w:val="48"/>
    <w:rsid w:val="0057062A"/>
    <w:pPr>
      <w:spacing w:after="0" w:line="240" w:lineRule="auto"/>
    </w:pPr>
    <w:tblPr>
      <w:tblStyleRowBandSize w:val="1"/>
      <w:tblStyleColBandSize w:val="1"/>
      <w:tblBorders>
        <w:top w:val="single" w:sz="4" w:space="0" w:color="F36E44"/>
        <w:left w:val="single" w:sz="4" w:space="0" w:color="F36E44"/>
        <w:bottom w:val="single" w:sz="4" w:space="0" w:color="F36E44"/>
        <w:right w:val="single" w:sz="4" w:space="0" w:color="F36E44"/>
      </w:tblBorders>
    </w:tblPr>
    <w:tblStylePr w:type="firstRow">
      <w:rPr>
        <w:b/>
        <w:bCs/>
        <w:color w:val="FFFFFF"/>
      </w:rPr>
      <w:tblPr/>
      <w:tcPr>
        <w:shd w:val="clear" w:color="auto" w:fill="F36E44"/>
      </w:tcPr>
    </w:tblStylePr>
    <w:tblStylePr w:type="lastRow">
      <w:rPr>
        <w:b/>
        <w:bCs/>
      </w:rPr>
      <w:tblPr/>
      <w:tcPr>
        <w:tcBorders>
          <w:top w:val="double" w:sz="4" w:space="0" w:color="F36E4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36E44"/>
          <w:right w:val="single" w:sz="4" w:space="0" w:color="F36E44"/>
        </w:tcBorders>
      </w:tcPr>
    </w:tblStylePr>
    <w:tblStylePr w:type="band1Horz">
      <w:tblPr/>
      <w:tcPr>
        <w:tcBorders>
          <w:top w:val="single" w:sz="4" w:space="0" w:color="F36E44"/>
          <w:bottom w:val="single" w:sz="4" w:space="0" w:color="F36E4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6E44"/>
          <w:left w:val="nil"/>
        </w:tcBorders>
      </w:tcPr>
    </w:tblStylePr>
    <w:tblStylePr w:type="swCell">
      <w:tblPr/>
      <w:tcPr>
        <w:tcBorders>
          <w:top w:val="double" w:sz="4" w:space="0" w:color="F36E44"/>
          <w:right w:val="nil"/>
        </w:tcBorders>
      </w:tcPr>
    </w:tblStylePr>
  </w:style>
  <w:style w:type="table" w:customStyle="1" w:styleId="ListTable3-Accent32">
    <w:name w:val="List Table 3 - Accent 32"/>
    <w:basedOn w:val="TableNormal"/>
    <w:next w:val="ListTable3-Accent3"/>
    <w:uiPriority w:val="48"/>
    <w:rsid w:val="0057062A"/>
    <w:pPr>
      <w:spacing w:after="0" w:line="240" w:lineRule="auto"/>
    </w:pPr>
    <w:tblPr>
      <w:tblStyleRowBandSize w:val="1"/>
      <w:tblStyleColBandSize w:val="1"/>
      <w:tblBorders>
        <w:top w:val="single" w:sz="4" w:space="0" w:color="59BDB8"/>
        <w:left w:val="single" w:sz="4" w:space="0" w:color="59BDB8"/>
        <w:bottom w:val="single" w:sz="4" w:space="0" w:color="59BDB8"/>
        <w:right w:val="single" w:sz="4" w:space="0" w:color="59BDB8"/>
      </w:tblBorders>
    </w:tblPr>
    <w:tblStylePr w:type="firstRow">
      <w:rPr>
        <w:b/>
        <w:bCs/>
        <w:color w:val="FFFFFF"/>
      </w:rPr>
      <w:tblPr/>
      <w:tcPr>
        <w:shd w:val="clear" w:color="auto" w:fill="59BDB8"/>
      </w:tcPr>
    </w:tblStylePr>
    <w:tblStylePr w:type="lastRow">
      <w:rPr>
        <w:b/>
        <w:bCs/>
      </w:rPr>
      <w:tblPr/>
      <w:tcPr>
        <w:tcBorders>
          <w:top w:val="double" w:sz="4" w:space="0" w:color="59BDB8"/>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9BDB8"/>
          <w:right w:val="single" w:sz="4" w:space="0" w:color="59BDB8"/>
        </w:tcBorders>
      </w:tcPr>
    </w:tblStylePr>
    <w:tblStylePr w:type="band1Horz">
      <w:tblPr/>
      <w:tcPr>
        <w:tcBorders>
          <w:top w:val="single" w:sz="4" w:space="0" w:color="59BDB8"/>
          <w:bottom w:val="single" w:sz="4" w:space="0" w:color="59BDB8"/>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BDB8"/>
          <w:left w:val="nil"/>
        </w:tcBorders>
      </w:tcPr>
    </w:tblStylePr>
    <w:tblStylePr w:type="swCell">
      <w:tblPr/>
      <w:tcPr>
        <w:tcBorders>
          <w:top w:val="double" w:sz="4" w:space="0" w:color="59BDB8"/>
          <w:right w:val="nil"/>
        </w:tcBorders>
      </w:tcPr>
    </w:tblStylePr>
  </w:style>
  <w:style w:type="table" w:customStyle="1" w:styleId="ListTable3-Accent42">
    <w:name w:val="List Table 3 - Accent 42"/>
    <w:basedOn w:val="TableNormal"/>
    <w:next w:val="ListTable3-Accent4"/>
    <w:uiPriority w:val="48"/>
    <w:rsid w:val="0057062A"/>
    <w:pPr>
      <w:spacing w:after="0" w:line="240" w:lineRule="auto"/>
    </w:pPr>
    <w:tblPr>
      <w:tblStyleRowBandSize w:val="1"/>
      <w:tblStyleColBandSize w:val="1"/>
      <w:tblBorders>
        <w:top w:val="single" w:sz="4" w:space="0" w:color="FDB933"/>
        <w:left w:val="single" w:sz="4" w:space="0" w:color="FDB933"/>
        <w:bottom w:val="single" w:sz="4" w:space="0" w:color="FDB933"/>
        <w:right w:val="single" w:sz="4" w:space="0" w:color="FDB933"/>
      </w:tblBorders>
    </w:tblPr>
    <w:tblStylePr w:type="firstRow">
      <w:rPr>
        <w:b/>
        <w:bCs/>
        <w:color w:val="FFFFFF"/>
      </w:rPr>
      <w:tblPr/>
      <w:tcPr>
        <w:shd w:val="clear" w:color="auto" w:fill="FDB933"/>
      </w:tcPr>
    </w:tblStylePr>
    <w:tblStylePr w:type="lastRow">
      <w:rPr>
        <w:b/>
        <w:bCs/>
      </w:rPr>
      <w:tblPr/>
      <w:tcPr>
        <w:tcBorders>
          <w:top w:val="double" w:sz="4" w:space="0" w:color="FDB93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DB933"/>
          <w:right w:val="single" w:sz="4" w:space="0" w:color="FDB933"/>
        </w:tcBorders>
      </w:tcPr>
    </w:tblStylePr>
    <w:tblStylePr w:type="band1Horz">
      <w:tblPr/>
      <w:tcPr>
        <w:tcBorders>
          <w:top w:val="single" w:sz="4" w:space="0" w:color="FDB933"/>
          <w:bottom w:val="single" w:sz="4" w:space="0" w:color="FDB93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B933"/>
          <w:left w:val="nil"/>
        </w:tcBorders>
      </w:tcPr>
    </w:tblStylePr>
    <w:tblStylePr w:type="swCell">
      <w:tblPr/>
      <w:tcPr>
        <w:tcBorders>
          <w:top w:val="double" w:sz="4" w:space="0" w:color="FDB933"/>
          <w:right w:val="nil"/>
        </w:tcBorders>
      </w:tcPr>
    </w:tblStylePr>
  </w:style>
  <w:style w:type="table" w:customStyle="1" w:styleId="ListTable3-Accent52">
    <w:name w:val="List Table 3 - Accent 52"/>
    <w:basedOn w:val="TableNormal"/>
    <w:next w:val="ListTable3-Accent5"/>
    <w:uiPriority w:val="48"/>
    <w:rsid w:val="0057062A"/>
    <w:pPr>
      <w:spacing w:after="0" w:line="240" w:lineRule="auto"/>
    </w:pPr>
    <w:tblPr>
      <w:tblStyleRowBandSize w:val="1"/>
      <w:tblStyleColBandSize w:val="1"/>
      <w:tblBorders>
        <w:top w:val="single" w:sz="4" w:space="0" w:color="6CAD6C"/>
        <w:left w:val="single" w:sz="4" w:space="0" w:color="6CAD6C"/>
        <w:bottom w:val="single" w:sz="4" w:space="0" w:color="6CAD6C"/>
        <w:right w:val="single" w:sz="4" w:space="0" w:color="6CAD6C"/>
      </w:tblBorders>
    </w:tblPr>
    <w:tblStylePr w:type="firstRow">
      <w:rPr>
        <w:b/>
        <w:bCs/>
        <w:color w:val="FFFFFF"/>
      </w:rPr>
      <w:tblPr/>
      <w:tcPr>
        <w:shd w:val="clear" w:color="auto" w:fill="6CAD6C"/>
      </w:tcPr>
    </w:tblStylePr>
    <w:tblStylePr w:type="lastRow">
      <w:rPr>
        <w:b/>
        <w:bCs/>
      </w:rPr>
      <w:tblPr/>
      <w:tcPr>
        <w:tcBorders>
          <w:top w:val="double" w:sz="4" w:space="0" w:color="6CAD6C"/>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6CAD6C"/>
          <w:right w:val="single" w:sz="4" w:space="0" w:color="6CAD6C"/>
        </w:tcBorders>
      </w:tcPr>
    </w:tblStylePr>
    <w:tblStylePr w:type="band1Horz">
      <w:tblPr/>
      <w:tcPr>
        <w:tcBorders>
          <w:top w:val="single" w:sz="4" w:space="0" w:color="6CAD6C"/>
          <w:bottom w:val="single" w:sz="4" w:space="0" w:color="6CAD6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CAD6C"/>
          <w:left w:val="nil"/>
        </w:tcBorders>
      </w:tcPr>
    </w:tblStylePr>
    <w:tblStylePr w:type="swCell">
      <w:tblPr/>
      <w:tcPr>
        <w:tcBorders>
          <w:top w:val="double" w:sz="4" w:space="0" w:color="6CAD6C"/>
          <w:right w:val="nil"/>
        </w:tcBorders>
      </w:tcPr>
    </w:tblStylePr>
  </w:style>
  <w:style w:type="table" w:customStyle="1" w:styleId="ListTable3-Accent62">
    <w:name w:val="List Table 3 - Accent 62"/>
    <w:basedOn w:val="TableNormal"/>
    <w:next w:val="ListTable3-Accent6"/>
    <w:uiPriority w:val="48"/>
    <w:rsid w:val="0057062A"/>
    <w:pPr>
      <w:spacing w:after="0" w:line="240" w:lineRule="auto"/>
    </w:pPr>
    <w:tblPr>
      <w:tblStyleRowBandSize w:val="1"/>
      <w:tblStyleColBandSize w:val="1"/>
      <w:tblBorders>
        <w:top w:val="single" w:sz="4" w:space="0" w:color="BD2644"/>
        <w:left w:val="single" w:sz="4" w:space="0" w:color="BD2644"/>
        <w:bottom w:val="single" w:sz="4" w:space="0" w:color="BD2644"/>
        <w:right w:val="single" w:sz="4" w:space="0" w:color="BD2644"/>
      </w:tblBorders>
    </w:tblPr>
    <w:tblStylePr w:type="firstRow">
      <w:rPr>
        <w:b/>
        <w:bCs/>
        <w:color w:val="FFFFFF"/>
      </w:rPr>
      <w:tblPr/>
      <w:tcPr>
        <w:shd w:val="clear" w:color="auto" w:fill="BD2644"/>
      </w:tcPr>
    </w:tblStylePr>
    <w:tblStylePr w:type="lastRow">
      <w:rPr>
        <w:b/>
        <w:bCs/>
      </w:rPr>
      <w:tblPr/>
      <w:tcPr>
        <w:tcBorders>
          <w:top w:val="double" w:sz="4" w:space="0" w:color="BD264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BD2644"/>
          <w:right w:val="single" w:sz="4" w:space="0" w:color="BD2644"/>
        </w:tcBorders>
      </w:tcPr>
    </w:tblStylePr>
    <w:tblStylePr w:type="band1Horz">
      <w:tblPr/>
      <w:tcPr>
        <w:tcBorders>
          <w:top w:val="single" w:sz="4" w:space="0" w:color="BD2644"/>
          <w:bottom w:val="single" w:sz="4" w:space="0" w:color="BD264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D2644"/>
          <w:left w:val="nil"/>
        </w:tcBorders>
      </w:tcPr>
    </w:tblStylePr>
    <w:tblStylePr w:type="swCell">
      <w:tblPr/>
      <w:tcPr>
        <w:tcBorders>
          <w:top w:val="double" w:sz="4" w:space="0" w:color="BD2644"/>
          <w:right w:val="nil"/>
        </w:tcBorders>
      </w:tcPr>
    </w:tblStylePr>
  </w:style>
  <w:style w:type="table" w:customStyle="1" w:styleId="ListTable42">
    <w:name w:val="List Table 42"/>
    <w:basedOn w:val="TableNormal"/>
    <w:next w:val="ListTable4"/>
    <w:uiPriority w:val="49"/>
    <w:rsid w:val="0057062A"/>
    <w:pPr>
      <w:spacing w:after="0" w:line="240" w:lineRule="auto"/>
    </w:p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2">
    <w:name w:val="List Table 4 - Accent 12"/>
    <w:basedOn w:val="TableNormal"/>
    <w:next w:val="ListTable4-Accent1"/>
    <w:uiPriority w:val="49"/>
    <w:rsid w:val="0057062A"/>
    <w:pPr>
      <w:spacing w:after="0" w:line="240" w:lineRule="auto"/>
    </w:pPr>
    <w:tblPr>
      <w:tblStyleRowBandSize w:val="1"/>
      <w:tblStyleColBandSize w:val="1"/>
      <w:tblBorders>
        <w:top w:val="single" w:sz="4" w:space="0" w:color="20FBEF"/>
        <w:left w:val="single" w:sz="4" w:space="0" w:color="20FBEF"/>
        <w:bottom w:val="single" w:sz="4" w:space="0" w:color="20FBEF"/>
        <w:right w:val="single" w:sz="4" w:space="0" w:color="20FBEF"/>
        <w:insideH w:val="single" w:sz="4" w:space="0" w:color="20FBEF"/>
      </w:tblBorders>
    </w:tblPr>
    <w:tblStylePr w:type="firstRow">
      <w:rPr>
        <w:b/>
        <w:bCs/>
        <w:color w:val="FFFFFF"/>
      </w:rPr>
      <w:tblPr/>
      <w:tcPr>
        <w:tcBorders>
          <w:top w:val="single" w:sz="4" w:space="0" w:color="02847D"/>
          <w:left w:val="single" w:sz="4" w:space="0" w:color="02847D"/>
          <w:bottom w:val="single" w:sz="4" w:space="0" w:color="02847D"/>
          <w:right w:val="single" w:sz="4" w:space="0" w:color="02847D"/>
          <w:insideH w:val="nil"/>
        </w:tcBorders>
        <w:shd w:val="clear" w:color="auto" w:fill="02847D"/>
      </w:tcPr>
    </w:tblStylePr>
    <w:tblStylePr w:type="lastRow">
      <w:rPr>
        <w:b/>
        <w:bCs/>
      </w:rPr>
      <w:tblPr/>
      <w:tcPr>
        <w:tcBorders>
          <w:top w:val="double" w:sz="4" w:space="0" w:color="20FBEF"/>
        </w:tcBorders>
      </w:tcPr>
    </w:tblStylePr>
    <w:tblStylePr w:type="firstCol">
      <w:rPr>
        <w:b/>
        <w:bCs/>
      </w:rPr>
    </w:tblStylePr>
    <w:tblStylePr w:type="lastCol">
      <w:rPr>
        <w:b/>
        <w:bCs/>
      </w:rPr>
    </w:tblStylePr>
    <w:tblStylePr w:type="band1Vert">
      <w:tblPr/>
      <w:tcPr>
        <w:shd w:val="clear" w:color="auto" w:fill="B4FEF9"/>
      </w:tcPr>
    </w:tblStylePr>
    <w:tblStylePr w:type="band1Horz">
      <w:tblPr/>
      <w:tcPr>
        <w:shd w:val="clear" w:color="auto" w:fill="B4FEF9"/>
      </w:tcPr>
    </w:tblStylePr>
  </w:style>
  <w:style w:type="table" w:customStyle="1" w:styleId="ListTable4-Accent22">
    <w:name w:val="List Table 4 - Accent 22"/>
    <w:basedOn w:val="TableNormal"/>
    <w:next w:val="ListTable4-Accent2"/>
    <w:uiPriority w:val="49"/>
    <w:rsid w:val="0057062A"/>
    <w:pPr>
      <w:spacing w:after="0" w:line="240" w:lineRule="auto"/>
    </w:pPr>
    <w:tblPr>
      <w:tblStyleRowBandSize w:val="1"/>
      <w:tblStyleColBandSize w:val="1"/>
      <w:tblBorders>
        <w:top w:val="single" w:sz="4" w:space="0" w:color="F7A78E"/>
        <w:left w:val="single" w:sz="4" w:space="0" w:color="F7A78E"/>
        <w:bottom w:val="single" w:sz="4" w:space="0" w:color="F7A78E"/>
        <w:right w:val="single" w:sz="4" w:space="0" w:color="F7A78E"/>
        <w:insideH w:val="single" w:sz="4" w:space="0" w:color="F7A78E"/>
      </w:tblBorders>
    </w:tblPr>
    <w:tblStylePr w:type="firstRow">
      <w:rPr>
        <w:b/>
        <w:bCs/>
        <w:color w:val="FFFFFF"/>
      </w:rPr>
      <w:tblPr/>
      <w:tcPr>
        <w:tcBorders>
          <w:top w:val="single" w:sz="4" w:space="0" w:color="F36E44"/>
          <w:left w:val="single" w:sz="4" w:space="0" w:color="F36E44"/>
          <w:bottom w:val="single" w:sz="4" w:space="0" w:color="F36E44"/>
          <w:right w:val="single" w:sz="4" w:space="0" w:color="F36E44"/>
          <w:insideH w:val="nil"/>
        </w:tcBorders>
        <w:shd w:val="clear" w:color="auto" w:fill="F36E44"/>
      </w:tcPr>
    </w:tblStylePr>
    <w:tblStylePr w:type="lastRow">
      <w:rPr>
        <w:b/>
        <w:bCs/>
      </w:rPr>
      <w:tblPr/>
      <w:tcPr>
        <w:tcBorders>
          <w:top w:val="double" w:sz="4" w:space="0" w:color="F7A78E"/>
        </w:tcBorders>
      </w:tcPr>
    </w:tblStylePr>
    <w:tblStylePr w:type="firstCol">
      <w:rPr>
        <w:b/>
        <w:bCs/>
      </w:rPr>
    </w:tblStylePr>
    <w:tblStylePr w:type="lastCol">
      <w:rPr>
        <w:b/>
        <w:bCs/>
      </w:rPr>
    </w:tblStylePr>
    <w:tblStylePr w:type="band1Vert">
      <w:tblPr/>
      <w:tcPr>
        <w:shd w:val="clear" w:color="auto" w:fill="FCE1D9"/>
      </w:tcPr>
    </w:tblStylePr>
    <w:tblStylePr w:type="band1Horz">
      <w:tblPr/>
      <w:tcPr>
        <w:shd w:val="clear" w:color="auto" w:fill="FCE1D9"/>
      </w:tcPr>
    </w:tblStylePr>
  </w:style>
  <w:style w:type="table" w:customStyle="1" w:styleId="ListTable4-Accent32">
    <w:name w:val="List Table 4 - Accent 32"/>
    <w:basedOn w:val="TableNormal"/>
    <w:next w:val="ListTable4-Accent3"/>
    <w:uiPriority w:val="49"/>
    <w:rsid w:val="0057062A"/>
    <w:pPr>
      <w:spacing w:after="0" w:line="240" w:lineRule="auto"/>
    </w:pPr>
    <w:tblPr>
      <w:tblStyleRowBandSize w:val="1"/>
      <w:tblStyleColBandSize w:val="1"/>
      <w:tblBorders>
        <w:top w:val="single" w:sz="4" w:space="0" w:color="9BD7D4"/>
        <w:left w:val="single" w:sz="4" w:space="0" w:color="9BD7D4"/>
        <w:bottom w:val="single" w:sz="4" w:space="0" w:color="9BD7D4"/>
        <w:right w:val="single" w:sz="4" w:space="0" w:color="9BD7D4"/>
        <w:insideH w:val="single" w:sz="4" w:space="0" w:color="9BD7D4"/>
      </w:tblBorders>
    </w:tblPr>
    <w:tblStylePr w:type="firstRow">
      <w:rPr>
        <w:b/>
        <w:bCs/>
        <w:color w:val="FFFFFF"/>
      </w:rPr>
      <w:tblPr/>
      <w:tcPr>
        <w:tcBorders>
          <w:top w:val="single" w:sz="4" w:space="0" w:color="59BDB8"/>
          <w:left w:val="single" w:sz="4" w:space="0" w:color="59BDB8"/>
          <w:bottom w:val="single" w:sz="4" w:space="0" w:color="59BDB8"/>
          <w:right w:val="single" w:sz="4" w:space="0" w:color="59BDB8"/>
          <w:insideH w:val="nil"/>
        </w:tcBorders>
        <w:shd w:val="clear" w:color="auto" w:fill="59BDB8"/>
      </w:tcPr>
    </w:tblStylePr>
    <w:tblStylePr w:type="lastRow">
      <w:rPr>
        <w:b/>
        <w:bCs/>
      </w:rPr>
      <w:tblPr/>
      <w:tcPr>
        <w:tcBorders>
          <w:top w:val="double" w:sz="4" w:space="0" w:color="9BD7D4"/>
        </w:tcBorders>
      </w:tcPr>
    </w:tblStylePr>
    <w:tblStylePr w:type="firstCol">
      <w:rPr>
        <w:b/>
        <w:bCs/>
      </w:rPr>
    </w:tblStylePr>
    <w:tblStylePr w:type="lastCol">
      <w:rPr>
        <w:b/>
        <w:bCs/>
      </w:rPr>
    </w:tblStylePr>
    <w:tblStylePr w:type="band1Vert">
      <w:tblPr/>
      <w:tcPr>
        <w:shd w:val="clear" w:color="auto" w:fill="DDF1F0"/>
      </w:tcPr>
    </w:tblStylePr>
    <w:tblStylePr w:type="band1Horz">
      <w:tblPr/>
      <w:tcPr>
        <w:shd w:val="clear" w:color="auto" w:fill="DDF1F0"/>
      </w:tcPr>
    </w:tblStylePr>
  </w:style>
  <w:style w:type="table" w:customStyle="1" w:styleId="ListTable4-Accent42">
    <w:name w:val="List Table 4 - Accent 42"/>
    <w:basedOn w:val="TableNormal"/>
    <w:next w:val="ListTable4-Accent4"/>
    <w:uiPriority w:val="49"/>
    <w:rsid w:val="0057062A"/>
    <w:pPr>
      <w:spacing w:after="0" w:line="240" w:lineRule="auto"/>
    </w:pPr>
    <w:tblPr>
      <w:tblStyleRowBandSize w:val="1"/>
      <w:tblStyleColBandSize w:val="1"/>
      <w:tblBorders>
        <w:top w:val="single" w:sz="4" w:space="0" w:color="FDD484"/>
        <w:left w:val="single" w:sz="4" w:space="0" w:color="FDD484"/>
        <w:bottom w:val="single" w:sz="4" w:space="0" w:color="FDD484"/>
        <w:right w:val="single" w:sz="4" w:space="0" w:color="FDD484"/>
        <w:insideH w:val="single" w:sz="4" w:space="0" w:color="FDD484"/>
      </w:tblBorders>
    </w:tblPr>
    <w:tblStylePr w:type="firstRow">
      <w:rPr>
        <w:b/>
        <w:bCs/>
        <w:color w:val="FFFFFF"/>
      </w:rPr>
      <w:tblPr/>
      <w:tcPr>
        <w:tcBorders>
          <w:top w:val="single" w:sz="4" w:space="0" w:color="FDB933"/>
          <w:left w:val="single" w:sz="4" w:space="0" w:color="FDB933"/>
          <w:bottom w:val="single" w:sz="4" w:space="0" w:color="FDB933"/>
          <w:right w:val="single" w:sz="4" w:space="0" w:color="FDB933"/>
          <w:insideH w:val="nil"/>
        </w:tcBorders>
        <w:shd w:val="clear" w:color="auto" w:fill="FDB933"/>
      </w:tcPr>
    </w:tblStylePr>
    <w:tblStylePr w:type="lastRow">
      <w:rPr>
        <w:b/>
        <w:bCs/>
      </w:rPr>
      <w:tblPr/>
      <w:tcPr>
        <w:tcBorders>
          <w:top w:val="double" w:sz="4" w:space="0" w:color="FDD484"/>
        </w:tcBorders>
      </w:tcPr>
    </w:tblStylePr>
    <w:tblStylePr w:type="firstCol">
      <w:rPr>
        <w:b/>
        <w:bCs/>
      </w:rPr>
    </w:tblStylePr>
    <w:tblStylePr w:type="lastCol">
      <w:rPr>
        <w:b/>
        <w:bCs/>
      </w:rPr>
    </w:tblStylePr>
    <w:tblStylePr w:type="band1Vert">
      <w:tblPr/>
      <w:tcPr>
        <w:shd w:val="clear" w:color="auto" w:fill="FEF0D6"/>
      </w:tcPr>
    </w:tblStylePr>
    <w:tblStylePr w:type="band1Horz">
      <w:tblPr/>
      <w:tcPr>
        <w:shd w:val="clear" w:color="auto" w:fill="FEF0D6"/>
      </w:tcPr>
    </w:tblStylePr>
  </w:style>
  <w:style w:type="table" w:customStyle="1" w:styleId="ListTable4-Accent52">
    <w:name w:val="List Table 4 - Accent 52"/>
    <w:basedOn w:val="TableNormal"/>
    <w:next w:val="ListTable4-Accent5"/>
    <w:uiPriority w:val="49"/>
    <w:rsid w:val="0057062A"/>
    <w:pPr>
      <w:spacing w:after="0" w:line="240" w:lineRule="auto"/>
    </w:pPr>
    <w:tblPr>
      <w:tblStyleRowBandSize w:val="1"/>
      <w:tblStyleColBandSize w:val="1"/>
      <w:tblBorders>
        <w:top w:val="single" w:sz="4" w:space="0" w:color="A6CDA6"/>
        <w:left w:val="single" w:sz="4" w:space="0" w:color="A6CDA6"/>
        <w:bottom w:val="single" w:sz="4" w:space="0" w:color="A6CDA6"/>
        <w:right w:val="single" w:sz="4" w:space="0" w:color="A6CDA6"/>
        <w:insideH w:val="single" w:sz="4" w:space="0" w:color="A6CDA6"/>
      </w:tblBorders>
    </w:tblPr>
    <w:tblStylePr w:type="firstRow">
      <w:rPr>
        <w:b/>
        <w:bCs/>
        <w:color w:val="FFFFFF"/>
      </w:rPr>
      <w:tblPr/>
      <w:tcPr>
        <w:tcBorders>
          <w:top w:val="single" w:sz="4" w:space="0" w:color="6CAD6C"/>
          <w:left w:val="single" w:sz="4" w:space="0" w:color="6CAD6C"/>
          <w:bottom w:val="single" w:sz="4" w:space="0" w:color="6CAD6C"/>
          <w:right w:val="single" w:sz="4" w:space="0" w:color="6CAD6C"/>
          <w:insideH w:val="nil"/>
        </w:tcBorders>
        <w:shd w:val="clear" w:color="auto" w:fill="6CAD6C"/>
      </w:tcPr>
    </w:tblStylePr>
    <w:tblStylePr w:type="lastRow">
      <w:rPr>
        <w:b/>
        <w:bCs/>
      </w:rPr>
      <w:tblPr/>
      <w:tcPr>
        <w:tcBorders>
          <w:top w:val="double" w:sz="4" w:space="0" w:color="A6CDA6"/>
        </w:tcBorders>
      </w:tcPr>
    </w:tblStylePr>
    <w:tblStylePr w:type="firstCol">
      <w:rPr>
        <w:b/>
        <w:bCs/>
      </w:rPr>
    </w:tblStylePr>
    <w:tblStylePr w:type="lastCol">
      <w:rPr>
        <w:b/>
        <w:bCs/>
      </w:rPr>
    </w:tblStylePr>
    <w:tblStylePr w:type="band1Vert">
      <w:tblPr/>
      <w:tcPr>
        <w:shd w:val="clear" w:color="auto" w:fill="E1EEE1"/>
      </w:tcPr>
    </w:tblStylePr>
    <w:tblStylePr w:type="band1Horz">
      <w:tblPr/>
      <w:tcPr>
        <w:shd w:val="clear" w:color="auto" w:fill="E1EEE1"/>
      </w:tcPr>
    </w:tblStylePr>
  </w:style>
  <w:style w:type="table" w:customStyle="1" w:styleId="ListTable4-Accent62">
    <w:name w:val="List Table 4 - Accent 62"/>
    <w:basedOn w:val="TableNormal"/>
    <w:next w:val="ListTable4-Accent6"/>
    <w:uiPriority w:val="49"/>
    <w:rsid w:val="0057062A"/>
    <w:pPr>
      <w:spacing w:after="0" w:line="240" w:lineRule="auto"/>
    </w:pPr>
    <w:tblPr>
      <w:tblStyleRowBandSize w:val="1"/>
      <w:tblStyleColBandSize w:val="1"/>
      <w:tblBorders>
        <w:top w:val="single" w:sz="4" w:space="0" w:color="E27187"/>
        <w:left w:val="single" w:sz="4" w:space="0" w:color="E27187"/>
        <w:bottom w:val="single" w:sz="4" w:space="0" w:color="E27187"/>
        <w:right w:val="single" w:sz="4" w:space="0" w:color="E27187"/>
        <w:insideH w:val="single" w:sz="4" w:space="0" w:color="E27187"/>
      </w:tblBorders>
    </w:tblPr>
    <w:tblStylePr w:type="firstRow">
      <w:rPr>
        <w:b/>
        <w:bCs/>
        <w:color w:val="FFFFFF"/>
      </w:rPr>
      <w:tblPr/>
      <w:tcPr>
        <w:tcBorders>
          <w:top w:val="single" w:sz="4" w:space="0" w:color="BD2644"/>
          <w:left w:val="single" w:sz="4" w:space="0" w:color="BD2644"/>
          <w:bottom w:val="single" w:sz="4" w:space="0" w:color="BD2644"/>
          <w:right w:val="single" w:sz="4" w:space="0" w:color="BD2644"/>
          <w:insideH w:val="nil"/>
        </w:tcBorders>
        <w:shd w:val="clear" w:color="auto" w:fill="BD2644"/>
      </w:tcPr>
    </w:tblStylePr>
    <w:tblStylePr w:type="lastRow">
      <w:rPr>
        <w:b/>
        <w:bCs/>
      </w:rPr>
      <w:tblPr/>
      <w:tcPr>
        <w:tcBorders>
          <w:top w:val="double" w:sz="4" w:space="0" w:color="E27187"/>
        </w:tcBorders>
      </w:tcPr>
    </w:tblStylePr>
    <w:tblStylePr w:type="firstCol">
      <w:rPr>
        <w:b/>
        <w:bCs/>
      </w:rPr>
    </w:tblStylePr>
    <w:tblStylePr w:type="lastCol">
      <w:rPr>
        <w:b/>
        <w:bCs/>
      </w:rPr>
    </w:tblStylePr>
    <w:tblStylePr w:type="band1Vert">
      <w:tblPr/>
      <w:tcPr>
        <w:shd w:val="clear" w:color="auto" w:fill="F5CFD7"/>
      </w:tcPr>
    </w:tblStylePr>
    <w:tblStylePr w:type="band1Horz">
      <w:tblPr/>
      <w:tcPr>
        <w:shd w:val="clear" w:color="auto" w:fill="F5CFD7"/>
      </w:tcPr>
    </w:tblStylePr>
  </w:style>
  <w:style w:type="table" w:customStyle="1" w:styleId="ListTable5Dark2">
    <w:name w:val="List Table 5 Dark2"/>
    <w:basedOn w:val="TableNormal"/>
    <w:next w:val="ListTable5Dark"/>
    <w:uiPriority w:val="50"/>
    <w:rsid w:val="0057062A"/>
    <w:pPr>
      <w:spacing w:after="0" w:line="240" w:lineRule="auto"/>
    </w:pPr>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2">
    <w:name w:val="List Table 5 Dark - Accent 12"/>
    <w:basedOn w:val="TableNormal"/>
    <w:next w:val="ListTable5Dark-Accent1"/>
    <w:uiPriority w:val="50"/>
    <w:rsid w:val="0057062A"/>
    <w:pPr>
      <w:spacing w:after="0" w:line="240" w:lineRule="auto"/>
    </w:pPr>
    <w:rPr>
      <w:color w:val="FFFFFF"/>
    </w:rPr>
    <w:tblPr>
      <w:tblStyleRowBandSize w:val="1"/>
      <w:tblStyleColBandSize w:val="1"/>
      <w:tblBorders>
        <w:top w:val="single" w:sz="24" w:space="0" w:color="02847D"/>
        <w:left w:val="single" w:sz="24" w:space="0" w:color="02847D"/>
        <w:bottom w:val="single" w:sz="24" w:space="0" w:color="02847D"/>
        <w:right w:val="single" w:sz="24" w:space="0" w:color="02847D"/>
      </w:tblBorders>
    </w:tblPr>
    <w:tcPr>
      <w:shd w:val="clear" w:color="auto" w:fill="02847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2">
    <w:name w:val="List Table 5 Dark - Accent 22"/>
    <w:basedOn w:val="TableNormal"/>
    <w:next w:val="ListTable5Dark-Accent2"/>
    <w:uiPriority w:val="50"/>
    <w:rsid w:val="0057062A"/>
    <w:pPr>
      <w:spacing w:after="0" w:line="240" w:lineRule="auto"/>
    </w:pPr>
    <w:rPr>
      <w:color w:val="FFFFFF"/>
    </w:rPr>
    <w:tblPr>
      <w:tblStyleRowBandSize w:val="1"/>
      <w:tblStyleColBandSize w:val="1"/>
      <w:tblBorders>
        <w:top w:val="single" w:sz="24" w:space="0" w:color="F36E44"/>
        <w:left w:val="single" w:sz="24" w:space="0" w:color="F36E44"/>
        <w:bottom w:val="single" w:sz="24" w:space="0" w:color="F36E44"/>
        <w:right w:val="single" w:sz="24" w:space="0" w:color="F36E44"/>
      </w:tblBorders>
    </w:tblPr>
    <w:tcPr>
      <w:shd w:val="clear" w:color="auto" w:fill="F36E4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TableNormal"/>
    <w:next w:val="ListTable5Dark-Accent3"/>
    <w:uiPriority w:val="50"/>
    <w:rsid w:val="0057062A"/>
    <w:pPr>
      <w:spacing w:after="0" w:line="240" w:lineRule="auto"/>
    </w:pPr>
    <w:rPr>
      <w:color w:val="FFFFFF"/>
    </w:rPr>
    <w:tblPr>
      <w:tblStyleRowBandSize w:val="1"/>
      <w:tblStyleColBandSize w:val="1"/>
      <w:tblBorders>
        <w:top w:val="single" w:sz="24" w:space="0" w:color="59BDB8"/>
        <w:left w:val="single" w:sz="24" w:space="0" w:color="59BDB8"/>
        <w:bottom w:val="single" w:sz="24" w:space="0" w:color="59BDB8"/>
        <w:right w:val="single" w:sz="24" w:space="0" w:color="59BDB8"/>
      </w:tblBorders>
    </w:tblPr>
    <w:tcPr>
      <w:shd w:val="clear" w:color="auto" w:fill="59BDB8"/>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2">
    <w:name w:val="List Table 5 Dark - Accent 42"/>
    <w:basedOn w:val="TableNormal"/>
    <w:next w:val="ListTable5Dark-Accent4"/>
    <w:uiPriority w:val="50"/>
    <w:rsid w:val="0057062A"/>
    <w:pPr>
      <w:spacing w:after="0" w:line="240" w:lineRule="auto"/>
    </w:pPr>
    <w:rPr>
      <w:color w:val="FFFFFF"/>
    </w:rPr>
    <w:tblPr>
      <w:tblStyleRowBandSize w:val="1"/>
      <w:tblStyleColBandSize w:val="1"/>
      <w:tblBorders>
        <w:top w:val="single" w:sz="24" w:space="0" w:color="FDB933"/>
        <w:left w:val="single" w:sz="24" w:space="0" w:color="FDB933"/>
        <w:bottom w:val="single" w:sz="24" w:space="0" w:color="FDB933"/>
        <w:right w:val="single" w:sz="24" w:space="0" w:color="FDB933"/>
      </w:tblBorders>
    </w:tblPr>
    <w:tcPr>
      <w:shd w:val="clear" w:color="auto" w:fill="FDB93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2">
    <w:name w:val="List Table 5 Dark - Accent 52"/>
    <w:basedOn w:val="TableNormal"/>
    <w:next w:val="ListTable5Dark-Accent5"/>
    <w:uiPriority w:val="50"/>
    <w:rsid w:val="0057062A"/>
    <w:pPr>
      <w:spacing w:after="0" w:line="240" w:lineRule="auto"/>
    </w:pPr>
    <w:rPr>
      <w:color w:val="FFFFFF"/>
    </w:rPr>
    <w:tblPr>
      <w:tblStyleRowBandSize w:val="1"/>
      <w:tblStyleColBandSize w:val="1"/>
      <w:tblBorders>
        <w:top w:val="single" w:sz="24" w:space="0" w:color="6CAD6C"/>
        <w:left w:val="single" w:sz="24" w:space="0" w:color="6CAD6C"/>
        <w:bottom w:val="single" w:sz="24" w:space="0" w:color="6CAD6C"/>
        <w:right w:val="single" w:sz="24" w:space="0" w:color="6CAD6C"/>
      </w:tblBorders>
    </w:tblPr>
    <w:tcPr>
      <w:shd w:val="clear" w:color="auto" w:fill="6CAD6C"/>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2">
    <w:name w:val="List Table 5 Dark - Accent 62"/>
    <w:basedOn w:val="TableNormal"/>
    <w:next w:val="ListTable5Dark-Accent6"/>
    <w:uiPriority w:val="50"/>
    <w:rsid w:val="0057062A"/>
    <w:pPr>
      <w:spacing w:after="0" w:line="240" w:lineRule="auto"/>
    </w:pPr>
    <w:rPr>
      <w:color w:val="FFFFFF"/>
    </w:rPr>
    <w:tblPr>
      <w:tblStyleRowBandSize w:val="1"/>
      <w:tblStyleColBandSize w:val="1"/>
      <w:tblBorders>
        <w:top w:val="single" w:sz="24" w:space="0" w:color="BD2644"/>
        <w:left w:val="single" w:sz="24" w:space="0" w:color="BD2644"/>
        <w:bottom w:val="single" w:sz="24" w:space="0" w:color="BD2644"/>
        <w:right w:val="single" w:sz="24" w:space="0" w:color="BD2644"/>
      </w:tblBorders>
    </w:tblPr>
    <w:tcPr>
      <w:shd w:val="clear" w:color="auto" w:fill="BD264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2">
    <w:name w:val="List Table 6 Colorful2"/>
    <w:basedOn w:val="TableNormal"/>
    <w:next w:val="ListTable6Colorful"/>
    <w:uiPriority w:val="51"/>
    <w:rsid w:val="0057062A"/>
    <w:pPr>
      <w:spacing w:after="0" w:line="240"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2">
    <w:name w:val="List Table 6 Colorful - Accent 12"/>
    <w:basedOn w:val="TableNormal"/>
    <w:next w:val="ListTable6Colorful-Accent1"/>
    <w:uiPriority w:val="51"/>
    <w:rsid w:val="0057062A"/>
    <w:pPr>
      <w:spacing w:after="0" w:line="240" w:lineRule="auto"/>
    </w:pPr>
    <w:rPr>
      <w:color w:val="01625D"/>
    </w:rPr>
    <w:tblPr>
      <w:tblStyleRowBandSize w:val="1"/>
      <w:tblStyleColBandSize w:val="1"/>
      <w:tblBorders>
        <w:top w:val="single" w:sz="4" w:space="0" w:color="02847D"/>
        <w:bottom w:val="single" w:sz="4" w:space="0" w:color="02847D"/>
      </w:tblBorders>
    </w:tblPr>
    <w:tblStylePr w:type="firstRow">
      <w:rPr>
        <w:b/>
        <w:bCs/>
      </w:rPr>
      <w:tblPr/>
      <w:tcPr>
        <w:tcBorders>
          <w:bottom w:val="single" w:sz="4" w:space="0" w:color="02847D"/>
        </w:tcBorders>
      </w:tcPr>
    </w:tblStylePr>
    <w:tblStylePr w:type="lastRow">
      <w:rPr>
        <w:b/>
        <w:bCs/>
      </w:rPr>
      <w:tblPr/>
      <w:tcPr>
        <w:tcBorders>
          <w:top w:val="double" w:sz="4" w:space="0" w:color="02847D"/>
        </w:tcBorders>
      </w:tcPr>
    </w:tblStylePr>
    <w:tblStylePr w:type="firstCol">
      <w:rPr>
        <w:b/>
        <w:bCs/>
      </w:rPr>
    </w:tblStylePr>
    <w:tblStylePr w:type="lastCol">
      <w:rPr>
        <w:b/>
        <w:bCs/>
      </w:rPr>
    </w:tblStylePr>
    <w:tblStylePr w:type="band1Vert">
      <w:tblPr/>
      <w:tcPr>
        <w:shd w:val="clear" w:color="auto" w:fill="B4FEF9"/>
      </w:tcPr>
    </w:tblStylePr>
    <w:tblStylePr w:type="band1Horz">
      <w:tblPr/>
      <w:tcPr>
        <w:shd w:val="clear" w:color="auto" w:fill="B4FEF9"/>
      </w:tcPr>
    </w:tblStylePr>
  </w:style>
  <w:style w:type="table" w:customStyle="1" w:styleId="ListTable6Colorful-Accent22">
    <w:name w:val="List Table 6 Colorful - Accent 22"/>
    <w:basedOn w:val="TableNormal"/>
    <w:next w:val="ListTable6Colorful-Accent2"/>
    <w:uiPriority w:val="51"/>
    <w:rsid w:val="0057062A"/>
    <w:pPr>
      <w:spacing w:after="0" w:line="240" w:lineRule="auto"/>
    </w:pPr>
    <w:rPr>
      <w:color w:val="DA3F0E"/>
    </w:rPr>
    <w:tblPr>
      <w:tblStyleRowBandSize w:val="1"/>
      <w:tblStyleColBandSize w:val="1"/>
      <w:tblBorders>
        <w:top w:val="single" w:sz="4" w:space="0" w:color="F36E44"/>
        <w:bottom w:val="single" w:sz="4" w:space="0" w:color="F36E44"/>
      </w:tblBorders>
    </w:tblPr>
    <w:tblStylePr w:type="firstRow">
      <w:rPr>
        <w:b/>
        <w:bCs/>
      </w:rPr>
      <w:tblPr/>
      <w:tcPr>
        <w:tcBorders>
          <w:bottom w:val="single" w:sz="4" w:space="0" w:color="F36E44"/>
        </w:tcBorders>
      </w:tcPr>
    </w:tblStylePr>
    <w:tblStylePr w:type="lastRow">
      <w:rPr>
        <w:b/>
        <w:bCs/>
      </w:rPr>
      <w:tblPr/>
      <w:tcPr>
        <w:tcBorders>
          <w:top w:val="double" w:sz="4" w:space="0" w:color="F36E44"/>
        </w:tcBorders>
      </w:tcPr>
    </w:tblStylePr>
    <w:tblStylePr w:type="firstCol">
      <w:rPr>
        <w:b/>
        <w:bCs/>
      </w:rPr>
    </w:tblStylePr>
    <w:tblStylePr w:type="lastCol">
      <w:rPr>
        <w:b/>
        <w:bCs/>
      </w:rPr>
    </w:tblStylePr>
    <w:tblStylePr w:type="band1Vert">
      <w:tblPr/>
      <w:tcPr>
        <w:shd w:val="clear" w:color="auto" w:fill="FCE1D9"/>
      </w:tcPr>
    </w:tblStylePr>
    <w:tblStylePr w:type="band1Horz">
      <w:tblPr/>
      <w:tcPr>
        <w:shd w:val="clear" w:color="auto" w:fill="FCE1D9"/>
      </w:tcPr>
    </w:tblStylePr>
  </w:style>
  <w:style w:type="table" w:customStyle="1" w:styleId="ListTable6Colorful-Accent32">
    <w:name w:val="List Table 6 Colorful - Accent 32"/>
    <w:basedOn w:val="TableNormal"/>
    <w:next w:val="ListTable6Colorful-Accent3"/>
    <w:uiPriority w:val="51"/>
    <w:rsid w:val="0057062A"/>
    <w:pPr>
      <w:spacing w:after="0" w:line="240" w:lineRule="auto"/>
    </w:pPr>
    <w:rPr>
      <w:color w:val="3B9490"/>
    </w:rPr>
    <w:tblPr>
      <w:tblStyleRowBandSize w:val="1"/>
      <w:tblStyleColBandSize w:val="1"/>
      <w:tblBorders>
        <w:top w:val="single" w:sz="4" w:space="0" w:color="59BDB8"/>
        <w:bottom w:val="single" w:sz="4" w:space="0" w:color="59BDB8"/>
      </w:tblBorders>
    </w:tblPr>
    <w:tblStylePr w:type="firstRow">
      <w:rPr>
        <w:b/>
        <w:bCs/>
      </w:rPr>
      <w:tblPr/>
      <w:tcPr>
        <w:tcBorders>
          <w:bottom w:val="single" w:sz="4" w:space="0" w:color="59BDB8"/>
        </w:tcBorders>
      </w:tcPr>
    </w:tblStylePr>
    <w:tblStylePr w:type="lastRow">
      <w:rPr>
        <w:b/>
        <w:bCs/>
      </w:rPr>
      <w:tblPr/>
      <w:tcPr>
        <w:tcBorders>
          <w:top w:val="double" w:sz="4" w:space="0" w:color="59BDB8"/>
        </w:tcBorders>
      </w:tcPr>
    </w:tblStylePr>
    <w:tblStylePr w:type="firstCol">
      <w:rPr>
        <w:b/>
        <w:bCs/>
      </w:rPr>
    </w:tblStylePr>
    <w:tblStylePr w:type="lastCol">
      <w:rPr>
        <w:b/>
        <w:bCs/>
      </w:rPr>
    </w:tblStylePr>
    <w:tblStylePr w:type="band1Vert">
      <w:tblPr/>
      <w:tcPr>
        <w:shd w:val="clear" w:color="auto" w:fill="DDF1F0"/>
      </w:tcPr>
    </w:tblStylePr>
    <w:tblStylePr w:type="band1Horz">
      <w:tblPr/>
      <w:tcPr>
        <w:shd w:val="clear" w:color="auto" w:fill="DDF1F0"/>
      </w:tcPr>
    </w:tblStylePr>
  </w:style>
  <w:style w:type="table" w:customStyle="1" w:styleId="ListTable6Colorful-Accent42">
    <w:name w:val="List Table 6 Colorful - Accent 42"/>
    <w:basedOn w:val="TableNormal"/>
    <w:next w:val="ListTable6Colorful-Accent4"/>
    <w:uiPriority w:val="51"/>
    <w:rsid w:val="0057062A"/>
    <w:pPr>
      <w:spacing w:after="0" w:line="240" w:lineRule="auto"/>
    </w:pPr>
    <w:rPr>
      <w:color w:val="E19602"/>
    </w:rPr>
    <w:tblPr>
      <w:tblStyleRowBandSize w:val="1"/>
      <w:tblStyleColBandSize w:val="1"/>
      <w:tblBorders>
        <w:top w:val="single" w:sz="4" w:space="0" w:color="FDB933"/>
        <w:bottom w:val="single" w:sz="4" w:space="0" w:color="FDB933"/>
      </w:tblBorders>
    </w:tblPr>
    <w:tblStylePr w:type="firstRow">
      <w:rPr>
        <w:b/>
        <w:bCs/>
      </w:rPr>
      <w:tblPr/>
      <w:tcPr>
        <w:tcBorders>
          <w:bottom w:val="single" w:sz="4" w:space="0" w:color="FDB933"/>
        </w:tcBorders>
      </w:tcPr>
    </w:tblStylePr>
    <w:tblStylePr w:type="lastRow">
      <w:rPr>
        <w:b/>
        <w:bCs/>
      </w:rPr>
      <w:tblPr/>
      <w:tcPr>
        <w:tcBorders>
          <w:top w:val="double" w:sz="4" w:space="0" w:color="FDB933"/>
        </w:tcBorders>
      </w:tcPr>
    </w:tblStylePr>
    <w:tblStylePr w:type="firstCol">
      <w:rPr>
        <w:b/>
        <w:bCs/>
      </w:rPr>
    </w:tblStylePr>
    <w:tblStylePr w:type="lastCol">
      <w:rPr>
        <w:b/>
        <w:bCs/>
      </w:rPr>
    </w:tblStylePr>
    <w:tblStylePr w:type="band1Vert">
      <w:tblPr/>
      <w:tcPr>
        <w:shd w:val="clear" w:color="auto" w:fill="FEF0D6"/>
      </w:tcPr>
    </w:tblStylePr>
    <w:tblStylePr w:type="band1Horz">
      <w:tblPr/>
      <w:tcPr>
        <w:shd w:val="clear" w:color="auto" w:fill="FEF0D6"/>
      </w:tcPr>
    </w:tblStylePr>
  </w:style>
  <w:style w:type="table" w:customStyle="1" w:styleId="ListTable6Colorful-Accent52">
    <w:name w:val="List Table 6 Colorful - Accent 52"/>
    <w:basedOn w:val="TableNormal"/>
    <w:next w:val="ListTable6Colorful-Accent5"/>
    <w:uiPriority w:val="51"/>
    <w:rsid w:val="0057062A"/>
    <w:pPr>
      <w:spacing w:after="0" w:line="240" w:lineRule="auto"/>
    </w:pPr>
    <w:rPr>
      <w:color w:val="4B864B"/>
    </w:rPr>
    <w:tblPr>
      <w:tblStyleRowBandSize w:val="1"/>
      <w:tblStyleColBandSize w:val="1"/>
      <w:tblBorders>
        <w:top w:val="single" w:sz="4" w:space="0" w:color="6CAD6C"/>
        <w:bottom w:val="single" w:sz="4" w:space="0" w:color="6CAD6C"/>
      </w:tblBorders>
    </w:tblPr>
    <w:tblStylePr w:type="firstRow">
      <w:rPr>
        <w:b/>
        <w:bCs/>
      </w:rPr>
      <w:tblPr/>
      <w:tcPr>
        <w:tcBorders>
          <w:bottom w:val="single" w:sz="4" w:space="0" w:color="6CAD6C"/>
        </w:tcBorders>
      </w:tcPr>
    </w:tblStylePr>
    <w:tblStylePr w:type="lastRow">
      <w:rPr>
        <w:b/>
        <w:bCs/>
      </w:rPr>
      <w:tblPr/>
      <w:tcPr>
        <w:tcBorders>
          <w:top w:val="double" w:sz="4" w:space="0" w:color="6CAD6C"/>
        </w:tcBorders>
      </w:tcPr>
    </w:tblStylePr>
    <w:tblStylePr w:type="firstCol">
      <w:rPr>
        <w:b/>
        <w:bCs/>
      </w:rPr>
    </w:tblStylePr>
    <w:tblStylePr w:type="lastCol">
      <w:rPr>
        <w:b/>
        <w:bCs/>
      </w:rPr>
    </w:tblStylePr>
    <w:tblStylePr w:type="band1Vert">
      <w:tblPr/>
      <w:tcPr>
        <w:shd w:val="clear" w:color="auto" w:fill="E1EEE1"/>
      </w:tcPr>
    </w:tblStylePr>
    <w:tblStylePr w:type="band1Horz">
      <w:tblPr/>
      <w:tcPr>
        <w:shd w:val="clear" w:color="auto" w:fill="E1EEE1"/>
      </w:tcPr>
    </w:tblStylePr>
  </w:style>
  <w:style w:type="table" w:customStyle="1" w:styleId="ListTable6Colorful-Accent62">
    <w:name w:val="List Table 6 Colorful - Accent 62"/>
    <w:basedOn w:val="TableNormal"/>
    <w:next w:val="ListTable6Colorful-Accent6"/>
    <w:uiPriority w:val="51"/>
    <w:rsid w:val="0057062A"/>
    <w:pPr>
      <w:spacing w:after="0" w:line="240" w:lineRule="auto"/>
    </w:pPr>
    <w:rPr>
      <w:color w:val="8D1C32"/>
    </w:rPr>
    <w:tblPr>
      <w:tblStyleRowBandSize w:val="1"/>
      <w:tblStyleColBandSize w:val="1"/>
      <w:tblBorders>
        <w:top w:val="single" w:sz="4" w:space="0" w:color="BD2644"/>
        <w:bottom w:val="single" w:sz="4" w:space="0" w:color="BD2644"/>
      </w:tblBorders>
    </w:tblPr>
    <w:tblStylePr w:type="firstRow">
      <w:rPr>
        <w:b/>
        <w:bCs/>
      </w:rPr>
      <w:tblPr/>
      <w:tcPr>
        <w:tcBorders>
          <w:bottom w:val="single" w:sz="4" w:space="0" w:color="BD2644"/>
        </w:tcBorders>
      </w:tcPr>
    </w:tblStylePr>
    <w:tblStylePr w:type="lastRow">
      <w:rPr>
        <w:b/>
        <w:bCs/>
      </w:rPr>
      <w:tblPr/>
      <w:tcPr>
        <w:tcBorders>
          <w:top w:val="double" w:sz="4" w:space="0" w:color="BD2644"/>
        </w:tcBorders>
      </w:tcPr>
    </w:tblStylePr>
    <w:tblStylePr w:type="firstCol">
      <w:rPr>
        <w:b/>
        <w:bCs/>
      </w:rPr>
    </w:tblStylePr>
    <w:tblStylePr w:type="lastCol">
      <w:rPr>
        <w:b/>
        <w:bCs/>
      </w:rPr>
    </w:tblStylePr>
    <w:tblStylePr w:type="band1Vert">
      <w:tblPr/>
      <w:tcPr>
        <w:shd w:val="clear" w:color="auto" w:fill="F5CFD7"/>
      </w:tcPr>
    </w:tblStylePr>
    <w:tblStylePr w:type="band1Horz">
      <w:tblPr/>
      <w:tcPr>
        <w:shd w:val="clear" w:color="auto" w:fill="F5CFD7"/>
      </w:tcPr>
    </w:tblStylePr>
  </w:style>
  <w:style w:type="table" w:customStyle="1" w:styleId="ListTable7Colorful2">
    <w:name w:val="List Table 7 Colorful2"/>
    <w:basedOn w:val="TableNormal"/>
    <w:next w:val="ListTable7Colorful"/>
    <w:uiPriority w:val="52"/>
    <w:rsid w:val="0057062A"/>
    <w:pPr>
      <w:spacing w:after="0" w:line="240" w:lineRule="auto"/>
    </w:pPr>
    <w:rPr>
      <w:color w:val="000000"/>
    </w:rPr>
    <w:tblPr>
      <w:tblStyleRowBandSize w:val="1"/>
      <w:tblStyleColBandSize w:val="1"/>
    </w:tblPr>
    <w:tblStylePr w:type="firstRow">
      <w:rPr>
        <w:rFonts w:ascii="Calibri Light" w:eastAsia="Arial Narrow" w:hAnsi="Calibri Light" w:cs="Tunga"/>
        <w:i/>
        <w:iCs/>
        <w:sz w:val="26"/>
      </w:rPr>
      <w:tblPr/>
      <w:tcPr>
        <w:tcBorders>
          <w:bottom w:val="single" w:sz="4" w:space="0" w:color="000000"/>
        </w:tcBorders>
        <w:shd w:val="clear" w:color="auto" w:fill="FFFFFF"/>
      </w:tcPr>
    </w:tblStylePr>
    <w:tblStylePr w:type="lastRow">
      <w:rPr>
        <w:rFonts w:ascii="Calibri Light" w:eastAsia="Arial Narrow" w:hAnsi="Calibri Light" w:cs="Tunga"/>
        <w:i/>
        <w:iCs/>
        <w:sz w:val="26"/>
      </w:rPr>
      <w:tblPr/>
      <w:tcPr>
        <w:tcBorders>
          <w:top w:val="single" w:sz="4" w:space="0" w:color="000000"/>
        </w:tcBorders>
        <w:shd w:val="clear" w:color="auto" w:fill="FFFFFF"/>
      </w:tcPr>
    </w:tblStylePr>
    <w:tblStylePr w:type="firstCol">
      <w:pPr>
        <w:jc w:val="right"/>
      </w:pPr>
      <w:rPr>
        <w:rFonts w:ascii="Calibri Light" w:eastAsia="Arial Narrow" w:hAnsi="Calibri Light" w:cs="Tunga"/>
        <w:i/>
        <w:iCs/>
        <w:sz w:val="26"/>
      </w:rPr>
      <w:tblPr/>
      <w:tcPr>
        <w:tcBorders>
          <w:right w:val="single" w:sz="4" w:space="0" w:color="000000"/>
        </w:tcBorders>
        <w:shd w:val="clear" w:color="auto" w:fill="FFFFFF"/>
      </w:tcPr>
    </w:tblStylePr>
    <w:tblStylePr w:type="lastCol">
      <w:rPr>
        <w:rFonts w:ascii="Calibri Light" w:eastAsia="Arial Narrow" w:hAnsi="Calibri Light" w:cs="Tunga"/>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2">
    <w:name w:val="List Table 7 Colorful - Accent 12"/>
    <w:basedOn w:val="TableNormal"/>
    <w:next w:val="ListTable7Colorful-Accent1"/>
    <w:uiPriority w:val="52"/>
    <w:rsid w:val="0057062A"/>
    <w:pPr>
      <w:spacing w:after="0" w:line="240" w:lineRule="auto"/>
    </w:pPr>
    <w:rPr>
      <w:color w:val="01625D"/>
    </w:rPr>
    <w:tblPr>
      <w:tblStyleRowBandSize w:val="1"/>
      <w:tblStyleColBandSize w:val="1"/>
    </w:tblPr>
    <w:tblStylePr w:type="firstRow">
      <w:rPr>
        <w:rFonts w:ascii="Calibri Light" w:eastAsia="Arial Narrow" w:hAnsi="Calibri Light" w:cs="Tunga"/>
        <w:i/>
        <w:iCs/>
        <w:sz w:val="26"/>
      </w:rPr>
      <w:tblPr/>
      <w:tcPr>
        <w:tcBorders>
          <w:bottom w:val="single" w:sz="4" w:space="0" w:color="02847D"/>
        </w:tcBorders>
        <w:shd w:val="clear" w:color="auto" w:fill="FFFFFF"/>
      </w:tcPr>
    </w:tblStylePr>
    <w:tblStylePr w:type="lastRow">
      <w:rPr>
        <w:rFonts w:ascii="Calibri Light" w:eastAsia="Arial Narrow" w:hAnsi="Calibri Light" w:cs="Tunga"/>
        <w:i/>
        <w:iCs/>
        <w:sz w:val="26"/>
      </w:rPr>
      <w:tblPr/>
      <w:tcPr>
        <w:tcBorders>
          <w:top w:val="single" w:sz="4" w:space="0" w:color="02847D"/>
        </w:tcBorders>
        <w:shd w:val="clear" w:color="auto" w:fill="FFFFFF"/>
      </w:tcPr>
    </w:tblStylePr>
    <w:tblStylePr w:type="firstCol">
      <w:pPr>
        <w:jc w:val="right"/>
      </w:pPr>
      <w:rPr>
        <w:rFonts w:ascii="Calibri Light" w:eastAsia="Arial Narrow" w:hAnsi="Calibri Light" w:cs="Tunga"/>
        <w:i/>
        <w:iCs/>
        <w:sz w:val="26"/>
      </w:rPr>
      <w:tblPr/>
      <w:tcPr>
        <w:tcBorders>
          <w:right w:val="single" w:sz="4" w:space="0" w:color="02847D"/>
        </w:tcBorders>
        <w:shd w:val="clear" w:color="auto" w:fill="FFFFFF"/>
      </w:tcPr>
    </w:tblStylePr>
    <w:tblStylePr w:type="lastCol">
      <w:rPr>
        <w:rFonts w:ascii="Calibri Light" w:eastAsia="Arial Narrow" w:hAnsi="Calibri Light" w:cs="Tunga"/>
        <w:i/>
        <w:iCs/>
        <w:sz w:val="26"/>
      </w:rPr>
      <w:tblPr/>
      <w:tcPr>
        <w:tcBorders>
          <w:left w:val="single" w:sz="4" w:space="0" w:color="02847D"/>
        </w:tcBorders>
        <w:shd w:val="clear" w:color="auto" w:fill="FFFFFF"/>
      </w:tcPr>
    </w:tblStylePr>
    <w:tblStylePr w:type="band1Vert">
      <w:tblPr/>
      <w:tcPr>
        <w:shd w:val="clear" w:color="auto" w:fill="B4FEF9"/>
      </w:tcPr>
    </w:tblStylePr>
    <w:tblStylePr w:type="band1Horz">
      <w:tblPr/>
      <w:tcPr>
        <w:shd w:val="clear" w:color="auto" w:fill="B4FEF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2">
    <w:name w:val="List Table 7 Colorful - Accent 22"/>
    <w:basedOn w:val="TableNormal"/>
    <w:next w:val="ListTable7Colorful-Accent2"/>
    <w:uiPriority w:val="52"/>
    <w:rsid w:val="0057062A"/>
    <w:pPr>
      <w:spacing w:after="0" w:line="240" w:lineRule="auto"/>
    </w:pPr>
    <w:rPr>
      <w:color w:val="DA3F0E"/>
    </w:rPr>
    <w:tblPr>
      <w:tblStyleRowBandSize w:val="1"/>
      <w:tblStyleColBandSize w:val="1"/>
    </w:tblPr>
    <w:tblStylePr w:type="firstRow">
      <w:rPr>
        <w:rFonts w:ascii="Calibri Light" w:eastAsia="Arial Narrow" w:hAnsi="Calibri Light" w:cs="Tunga"/>
        <w:i/>
        <w:iCs/>
        <w:sz w:val="26"/>
      </w:rPr>
      <w:tblPr/>
      <w:tcPr>
        <w:tcBorders>
          <w:bottom w:val="single" w:sz="4" w:space="0" w:color="F36E44"/>
        </w:tcBorders>
        <w:shd w:val="clear" w:color="auto" w:fill="FFFFFF"/>
      </w:tcPr>
    </w:tblStylePr>
    <w:tblStylePr w:type="lastRow">
      <w:rPr>
        <w:rFonts w:ascii="Calibri Light" w:eastAsia="Arial Narrow" w:hAnsi="Calibri Light" w:cs="Tunga"/>
        <w:i/>
        <w:iCs/>
        <w:sz w:val="26"/>
      </w:rPr>
      <w:tblPr/>
      <w:tcPr>
        <w:tcBorders>
          <w:top w:val="single" w:sz="4" w:space="0" w:color="F36E44"/>
        </w:tcBorders>
        <w:shd w:val="clear" w:color="auto" w:fill="FFFFFF"/>
      </w:tcPr>
    </w:tblStylePr>
    <w:tblStylePr w:type="firstCol">
      <w:pPr>
        <w:jc w:val="right"/>
      </w:pPr>
      <w:rPr>
        <w:rFonts w:ascii="Calibri Light" w:eastAsia="Arial Narrow" w:hAnsi="Calibri Light" w:cs="Tunga"/>
        <w:i/>
        <w:iCs/>
        <w:sz w:val="26"/>
      </w:rPr>
      <w:tblPr/>
      <w:tcPr>
        <w:tcBorders>
          <w:right w:val="single" w:sz="4" w:space="0" w:color="F36E44"/>
        </w:tcBorders>
        <w:shd w:val="clear" w:color="auto" w:fill="FFFFFF"/>
      </w:tcPr>
    </w:tblStylePr>
    <w:tblStylePr w:type="lastCol">
      <w:rPr>
        <w:rFonts w:ascii="Calibri Light" w:eastAsia="Arial Narrow" w:hAnsi="Calibri Light" w:cs="Tunga"/>
        <w:i/>
        <w:iCs/>
        <w:sz w:val="26"/>
      </w:rPr>
      <w:tblPr/>
      <w:tcPr>
        <w:tcBorders>
          <w:left w:val="single" w:sz="4" w:space="0" w:color="F36E44"/>
        </w:tcBorders>
        <w:shd w:val="clear" w:color="auto" w:fill="FFFFFF"/>
      </w:tcPr>
    </w:tblStylePr>
    <w:tblStylePr w:type="band1Vert">
      <w:tblPr/>
      <w:tcPr>
        <w:shd w:val="clear" w:color="auto" w:fill="FCE1D9"/>
      </w:tcPr>
    </w:tblStylePr>
    <w:tblStylePr w:type="band1Horz">
      <w:tblPr/>
      <w:tcPr>
        <w:shd w:val="clear" w:color="auto" w:fill="FCE1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2">
    <w:name w:val="List Table 7 Colorful - Accent 32"/>
    <w:basedOn w:val="TableNormal"/>
    <w:next w:val="ListTable7Colorful-Accent3"/>
    <w:uiPriority w:val="52"/>
    <w:rsid w:val="0057062A"/>
    <w:pPr>
      <w:spacing w:after="0" w:line="240" w:lineRule="auto"/>
    </w:pPr>
    <w:rPr>
      <w:color w:val="3B9490"/>
    </w:rPr>
    <w:tblPr>
      <w:tblStyleRowBandSize w:val="1"/>
      <w:tblStyleColBandSize w:val="1"/>
    </w:tblPr>
    <w:tblStylePr w:type="firstRow">
      <w:rPr>
        <w:rFonts w:ascii="Calibri Light" w:eastAsia="Arial Narrow" w:hAnsi="Calibri Light" w:cs="Tunga"/>
        <w:i/>
        <w:iCs/>
        <w:sz w:val="26"/>
      </w:rPr>
      <w:tblPr/>
      <w:tcPr>
        <w:tcBorders>
          <w:bottom w:val="single" w:sz="4" w:space="0" w:color="59BDB8"/>
        </w:tcBorders>
        <w:shd w:val="clear" w:color="auto" w:fill="FFFFFF"/>
      </w:tcPr>
    </w:tblStylePr>
    <w:tblStylePr w:type="lastRow">
      <w:rPr>
        <w:rFonts w:ascii="Calibri Light" w:eastAsia="Arial Narrow" w:hAnsi="Calibri Light" w:cs="Tunga"/>
        <w:i/>
        <w:iCs/>
        <w:sz w:val="26"/>
      </w:rPr>
      <w:tblPr/>
      <w:tcPr>
        <w:tcBorders>
          <w:top w:val="single" w:sz="4" w:space="0" w:color="59BDB8"/>
        </w:tcBorders>
        <w:shd w:val="clear" w:color="auto" w:fill="FFFFFF"/>
      </w:tcPr>
    </w:tblStylePr>
    <w:tblStylePr w:type="firstCol">
      <w:pPr>
        <w:jc w:val="right"/>
      </w:pPr>
      <w:rPr>
        <w:rFonts w:ascii="Calibri Light" w:eastAsia="Arial Narrow" w:hAnsi="Calibri Light" w:cs="Tunga"/>
        <w:i/>
        <w:iCs/>
        <w:sz w:val="26"/>
      </w:rPr>
      <w:tblPr/>
      <w:tcPr>
        <w:tcBorders>
          <w:right w:val="single" w:sz="4" w:space="0" w:color="59BDB8"/>
        </w:tcBorders>
        <w:shd w:val="clear" w:color="auto" w:fill="FFFFFF"/>
      </w:tcPr>
    </w:tblStylePr>
    <w:tblStylePr w:type="lastCol">
      <w:rPr>
        <w:rFonts w:ascii="Calibri Light" w:eastAsia="Arial Narrow" w:hAnsi="Calibri Light" w:cs="Tunga"/>
        <w:i/>
        <w:iCs/>
        <w:sz w:val="26"/>
      </w:rPr>
      <w:tblPr/>
      <w:tcPr>
        <w:tcBorders>
          <w:left w:val="single" w:sz="4" w:space="0" w:color="59BDB8"/>
        </w:tcBorders>
        <w:shd w:val="clear" w:color="auto" w:fill="FFFFFF"/>
      </w:tcPr>
    </w:tblStylePr>
    <w:tblStylePr w:type="band1Vert">
      <w:tblPr/>
      <w:tcPr>
        <w:shd w:val="clear" w:color="auto" w:fill="DDF1F0"/>
      </w:tcPr>
    </w:tblStylePr>
    <w:tblStylePr w:type="band1Horz">
      <w:tblPr/>
      <w:tcPr>
        <w:shd w:val="clear" w:color="auto" w:fill="DDF1F0"/>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2">
    <w:name w:val="List Table 7 Colorful - Accent 42"/>
    <w:basedOn w:val="TableNormal"/>
    <w:next w:val="ListTable7Colorful-Accent4"/>
    <w:uiPriority w:val="52"/>
    <w:rsid w:val="0057062A"/>
    <w:pPr>
      <w:spacing w:after="0" w:line="240" w:lineRule="auto"/>
    </w:pPr>
    <w:rPr>
      <w:color w:val="E19602"/>
    </w:rPr>
    <w:tblPr>
      <w:tblStyleRowBandSize w:val="1"/>
      <w:tblStyleColBandSize w:val="1"/>
    </w:tblPr>
    <w:tblStylePr w:type="firstRow">
      <w:rPr>
        <w:rFonts w:ascii="Calibri Light" w:eastAsia="Arial Narrow" w:hAnsi="Calibri Light" w:cs="Tunga"/>
        <w:i/>
        <w:iCs/>
        <w:sz w:val="26"/>
      </w:rPr>
      <w:tblPr/>
      <w:tcPr>
        <w:tcBorders>
          <w:bottom w:val="single" w:sz="4" w:space="0" w:color="FDB933"/>
        </w:tcBorders>
        <w:shd w:val="clear" w:color="auto" w:fill="FFFFFF"/>
      </w:tcPr>
    </w:tblStylePr>
    <w:tblStylePr w:type="lastRow">
      <w:rPr>
        <w:rFonts w:ascii="Calibri Light" w:eastAsia="Arial Narrow" w:hAnsi="Calibri Light" w:cs="Tunga"/>
        <w:i/>
        <w:iCs/>
        <w:sz w:val="26"/>
      </w:rPr>
      <w:tblPr/>
      <w:tcPr>
        <w:tcBorders>
          <w:top w:val="single" w:sz="4" w:space="0" w:color="FDB933"/>
        </w:tcBorders>
        <w:shd w:val="clear" w:color="auto" w:fill="FFFFFF"/>
      </w:tcPr>
    </w:tblStylePr>
    <w:tblStylePr w:type="firstCol">
      <w:pPr>
        <w:jc w:val="right"/>
      </w:pPr>
      <w:rPr>
        <w:rFonts w:ascii="Calibri Light" w:eastAsia="Arial Narrow" w:hAnsi="Calibri Light" w:cs="Tunga"/>
        <w:i/>
        <w:iCs/>
        <w:sz w:val="26"/>
      </w:rPr>
      <w:tblPr/>
      <w:tcPr>
        <w:tcBorders>
          <w:right w:val="single" w:sz="4" w:space="0" w:color="FDB933"/>
        </w:tcBorders>
        <w:shd w:val="clear" w:color="auto" w:fill="FFFFFF"/>
      </w:tcPr>
    </w:tblStylePr>
    <w:tblStylePr w:type="lastCol">
      <w:rPr>
        <w:rFonts w:ascii="Calibri Light" w:eastAsia="Arial Narrow" w:hAnsi="Calibri Light" w:cs="Tunga"/>
        <w:i/>
        <w:iCs/>
        <w:sz w:val="26"/>
      </w:rPr>
      <w:tblPr/>
      <w:tcPr>
        <w:tcBorders>
          <w:left w:val="single" w:sz="4" w:space="0" w:color="FDB933"/>
        </w:tcBorders>
        <w:shd w:val="clear" w:color="auto" w:fill="FFFFFF"/>
      </w:tcPr>
    </w:tblStylePr>
    <w:tblStylePr w:type="band1Vert">
      <w:tblPr/>
      <w:tcPr>
        <w:shd w:val="clear" w:color="auto" w:fill="FEF0D6"/>
      </w:tcPr>
    </w:tblStylePr>
    <w:tblStylePr w:type="band1Horz">
      <w:tblPr/>
      <w:tcPr>
        <w:shd w:val="clear" w:color="auto" w:fill="FEF0D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2">
    <w:name w:val="List Table 7 Colorful - Accent 52"/>
    <w:basedOn w:val="TableNormal"/>
    <w:next w:val="ListTable7Colorful-Accent5"/>
    <w:uiPriority w:val="52"/>
    <w:rsid w:val="0057062A"/>
    <w:pPr>
      <w:spacing w:after="0" w:line="240" w:lineRule="auto"/>
    </w:pPr>
    <w:rPr>
      <w:color w:val="4B864B"/>
    </w:rPr>
    <w:tblPr>
      <w:tblStyleRowBandSize w:val="1"/>
      <w:tblStyleColBandSize w:val="1"/>
    </w:tblPr>
    <w:tblStylePr w:type="firstRow">
      <w:rPr>
        <w:rFonts w:ascii="Calibri Light" w:eastAsia="Arial Narrow" w:hAnsi="Calibri Light" w:cs="Tunga"/>
        <w:i/>
        <w:iCs/>
        <w:sz w:val="26"/>
      </w:rPr>
      <w:tblPr/>
      <w:tcPr>
        <w:tcBorders>
          <w:bottom w:val="single" w:sz="4" w:space="0" w:color="6CAD6C"/>
        </w:tcBorders>
        <w:shd w:val="clear" w:color="auto" w:fill="FFFFFF"/>
      </w:tcPr>
    </w:tblStylePr>
    <w:tblStylePr w:type="lastRow">
      <w:rPr>
        <w:rFonts w:ascii="Calibri Light" w:eastAsia="Arial Narrow" w:hAnsi="Calibri Light" w:cs="Tunga"/>
        <w:i/>
        <w:iCs/>
        <w:sz w:val="26"/>
      </w:rPr>
      <w:tblPr/>
      <w:tcPr>
        <w:tcBorders>
          <w:top w:val="single" w:sz="4" w:space="0" w:color="6CAD6C"/>
        </w:tcBorders>
        <w:shd w:val="clear" w:color="auto" w:fill="FFFFFF"/>
      </w:tcPr>
    </w:tblStylePr>
    <w:tblStylePr w:type="firstCol">
      <w:pPr>
        <w:jc w:val="right"/>
      </w:pPr>
      <w:rPr>
        <w:rFonts w:ascii="Calibri Light" w:eastAsia="Arial Narrow" w:hAnsi="Calibri Light" w:cs="Tunga"/>
        <w:i/>
        <w:iCs/>
        <w:sz w:val="26"/>
      </w:rPr>
      <w:tblPr/>
      <w:tcPr>
        <w:tcBorders>
          <w:right w:val="single" w:sz="4" w:space="0" w:color="6CAD6C"/>
        </w:tcBorders>
        <w:shd w:val="clear" w:color="auto" w:fill="FFFFFF"/>
      </w:tcPr>
    </w:tblStylePr>
    <w:tblStylePr w:type="lastCol">
      <w:rPr>
        <w:rFonts w:ascii="Calibri Light" w:eastAsia="Arial Narrow" w:hAnsi="Calibri Light" w:cs="Tunga"/>
        <w:i/>
        <w:iCs/>
        <w:sz w:val="26"/>
      </w:rPr>
      <w:tblPr/>
      <w:tcPr>
        <w:tcBorders>
          <w:left w:val="single" w:sz="4" w:space="0" w:color="6CAD6C"/>
        </w:tcBorders>
        <w:shd w:val="clear" w:color="auto" w:fill="FFFFFF"/>
      </w:tcPr>
    </w:tblStylePr>
    <w:tblStylePr w:type="band1Vert">
      <w:tblPr/>
      <w:tcPr>
        <w:shd w:val="clear" w:color="auto" w:fill="E1EEE1"/>
      </w:tcPr>
    </w:tblStylePr>
    <w:tblStylePr w:type="band1Horz">
      <w:tblPr/>
      <w:tcPr>
        <w:shd w:val="clear" w:color="auto" w:fill="E1EEE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2">
    <w:name w:val="List Table 7 Colorful - Accent 62"/>
    <w:basedOn w:val="TableNormal"/>
    <w:next w:val="ListTable7Colorful-Accent6"/>
    <w:uiPriority w:val="52"/>
    <w:rsid w:val="0057062A"/>
    <w:pPr>
      <w:spacing w:after="0" w:line="240" w:lineRule="auto"/>
    </w:pPr>
    <w:rPr>
      <w:color w:val="8D1C32"/>
    </w:rPr>
    <w:tblPr>
      <w:tblStyleRowBandSize w:val="1"/>
      <w:tblStyleColBandSize w:val="1"/>
    </w:tblPr>
    <w:tblStylePr w:type="firstRow">
      <w:rPr>
        <w:rFonts w:ascii="Calibri Light" w:eastAsia="Arial Narrow" w:hAnsi="Calibri Light" w:cs="Tunga"/>
        <w:i/>
        <w:iCs/>
        <w:sz w:val="26"/>
      </w:rPr>
      <w:tblPr/>
      <w:tcPr>
        <w:tcBorders>
          <w:bottom w:val="single" w:sz="4" w:space="0" w:color="BD2644"/>
        </w:tcBorders>
        <w:shd w:val="clear" w:color="auto" w:fill="FFFFFF"/>
      </w:tcPr>
    </w:tblStylePr>
    <w:tblStylePr w:type="lastRow">
      <w:rPr>
        <w:rFonts w:ascii="Calibri Light" w:eastAsia="Arial Narrow" w:hAnsi="Calibri Light" w:cs="Tunga"/>
        <w:i/>
        <w:iCs/>
        <w:sz w:val="26"/>
      </w:rPr>
      <w:tblPr/>
      <w:tcPr>
        <w:tcBorders>
          <w:top w:val="single" w:sz="4" w:space="0" w:color="BD2644"/>
        </w:tcBorders>
        <w:shd w:val="clear" w:color="auto" w:fill="FFFFFF"/>
      </w:tcPr>
    </w:tblStylePr>
    <w:tblStylePr w:type="firstCol">
      <w:pPr>
        <w:jc w:val="right"/>
      </w:pPr>
      <w:rPr>
        <w:rFonts w:ascii="Calibri Light" w:eastAsia="Arial Narrow" w:hAnsi="Calibri Light" w:cs="Tunga"/>
        <w:i/>
        <w:iCs/>
        <w:sz w:val="26"/>
      </w:rPr>
      <w:tblPr/>
      <w:tcPr>
        <w:tcBorders>
          <w:right w:val="single" w:sz="4" w:space="0" w:color="BD2644"/>
        </w:tcBorders>
        <w:shd w:val="clear" w:color="auto" w:fill="FFFFFF"/>
      </w:tcPr>
    </w:tblStylePr>
    <w:tblStylePr w:type="lastCol">
      <w:rPr>
        <w:rFonts w:ascii="Calibri Light" w:eastAsia="Arial Narrow" w:hAnsi="Calibri Light" w:cs="Tunga"/>
        <w:i/>
        <w:iCs/>
        <w:sz w:val="26"/>
      </w:rPr>
      <w:tblPr/>
      <w:tcPr>
        <w:tcBorders>
          <w:left w:val="single" w:sz="4" w:space="0" w:color="BD2644"/>
        </w:tcBorders>
        <w:shd w:val="clear" w:color="auto" w:fill="FFFFFF"/>
      </w:tcPr>
    </w:tblStylePr>
    <w:tblStylePr w:type="band1Vert">
      <w:tblPr/>
      <w:tcPr>
        <w:shd w:val="clear" w:color="auto" w:fill="F5CFD7"/>
      </w:tcPr>
    </w:tblStylePr>
    <w:tblStylePr w:type="band1Horz">
      <w:tblPr/>
      <w:tcPr>
        <w:shd w:val="clear" w:color="auto" w:fill="F5CFD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2">
    <w:name w:val="Medium Grid 12"/>
    <w:basedOn w:val="TableNormal"/>
    <w:next w:val="MediumGrid1"/>
    <w:uiPriority w:val="67"/>
    <w:semiHidden/>
    <w:unhideWhenUsed/>
    <w:rsid w:val="0057062A"/>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67"/>
    <w:semiHidden/>
    <w:unhideWhenUsed/>
    <w:rsid w:val="0057062A"/>
    <w:pPr>
      <w:spacing w:after="0" w:line="240" w:lineRule="auto"/>
    </w:pPr>
    <w:tblPr>
      <w:tblStyleRowBandSize w:val="1"/>
      <w:tblStyleColBandSize w:val="1"/>
      <w:tblBorders>
        <w:top w:val="single" w:sz="8" w:space="0" w:color="03E0D4"/>
        <w:left w:val="single" w:sz="8" w:space="0" w:color="03E0D4"/>
        <w:bottom w:val="single" w:sz="8" w:space="0" w:color="03E0D4"/>
        <w:right w:val="single" w:sz="8" w:space="0" w:color="03E0D4"/>
        <w:insideH w:val="single" w:sz="8" w:space="0" w:color="03E0D4"/>
        <w:insideV w:val="single" w:sz="8" w:space="0" w:color="03E0D4"/>
      </w:tblBorders>
    </w:tblPr>
    <w:tcPr>
      <w:shd w:val="clear" w:color="auto" w:fill="A3FDF8"/>
    </w:tcPr>
    <w:tblStylePr w:type="firstRow">
      <w:rPr>
        <w:b/>
        <w:bCs/>
      </w:rPr>
    </w:tblStylePr>
    <w:tblStylePr w:type="lastRow">
      <w:rPr>
        <w:b/>
        <w:bCs/>
      </w:rPr>
      <w:tblPr/>
      <w:tcPr>
        <w:tcBorders>
          <w:top w:val="single" w:sz="18" w:space="0" w:color="03E0D4"/>
        </w:tcBorders>
      </w:tcPr>
    </w:tblStylePr>
    <w:tblStylePr w:type="firstCol">
      <w:rPr>
        <w:b/>
        <w:bCs/>
      </w:rPr>
    </w:tblStylePr>
    <w:tblStylePr w:type="lastCol">
      <w:rPr>
        <w:b/>
        <w:bCs/>
      </w:rPr>
    </w:tblStylePr>
    <w:tblStylePr w:type="band1Vert">
      <w:tblPr/>
      <w:tcPr>
        <w:shd w:val="clear" w:color="auto" w:fill="46FCF2"/>
      </w:tcPr>
    </w:tblStylePr>
    <w:tblStylePr w:type="band1Horz">
      <w:tblPr/>
      <w:tcPr>
        <w:shd w:val="clear" w:color="auto" w:fill="46FCF2"/>
      </w:tcPr>
    </w:tblStylePr>
  </w:style>
  <w:style w:type="table" w:customStyle="1" w:styleId="MediumGrid1-Accent23">
    <w:name w:val="Medium Grid 1 - Accent 23"/>
    <w:basedOn w:val="TableNormal"/>
    <w:next w:val="MediumGrid1-Accent2"/>
    <w:uiPriority w:val="67"/>
    <w:semiHidden/>
    <w:unhideWhenUsed/>
    <w:rsid w:val="0057062A"/>
    <w:pPr>
      <w:spacing w:after="0" w:line="240" w:lineRule="auto"/>
    </w:pPr>
    <w:tblPr>
      <w:tblStyleRowBandSize w:val="1"/>
      <w:tblStyleColBandSize w:val="1"/>
      <w:tblBorders>
        <w:top w:val="single" w:sz="8" w:space="0" w:color="F69272"/>
        <w:left w:val="single" w:sz="8" w:space="0" w:color="F69272"/>
        <w:bottom w:val="single" w:sz="8" w:space="0" w:color="F69272"/>
        <w:right w:val="single" w:sz="8" w:space="0" w:color="F69272"/>
        <w:insideH w:val="single" w:sz="8" w:space="0" w:color="F69272"/>
        <w:insideV w:val="single" w:sz="8" w:space="0" w:color="F69272"/>
      </w:tblBorders>
    </w:tblPr>
    <w:tcPr>
      <w:shd w:val="clear" w:color="auto" w:fill="FCDAD0"/>
    </w:tcPr>
    <w:tblStylePr w:type="firstRow">
      <w:rPr>
        <w:b/>
        <w:bCs/>
      </w:rPr>
    </w:tblStylePr>
    <w:tblStylePr w:type="lastRow">
      <w:rPr>
        <w:b/>
        <w:bCs/>
      </w:rPr>
      <w:tblPr/>
      <w:tcPr>
        <w:tcBorders>
          <w:top w:val="single" w:sz="18" w:space="0" w:color="F69272"/>
        </w:tcBorders>
      </w:tcPr>
    </w:tblStylePr>
    <w:tblStylePr w:type="firstCol">
      <w:rPr>
        <w:b/>
        <w:bCs/>
      </w:rPr>
    </w:tblStylePr>
    <w:tblStylePr w:type="lastCol">
      <w:rPr>
        <w:b/>
        <w:bCs/>
      </w:rPr>
    </w:tblStylePr>
    <w:tblStylePr w:type="band1Vert">
      <w:tblPr/>
      <w:tcPr>
        <w:shd w:val="clear" w:color="auto" w:fill="F9B6A1"/>
      </w:tcPr>
    </w:tblStylePr>
    <w:tblStylePr w:type="band1Horz">
      <w:tblPr/>
      <w:tcPr>
        <w:shd w:val="clear" w:color="auto" w:fill="F9B6A1"/>
      </w:tcPr>
    </w:tblStylePr>
  </w:style>
  <w:style w:type="table" w:customStyle="1" w:styleId="MediumGrid1-Accent32">
    <w:name w:val="Medium Grid 1 - Accent 32"/>
    <w:basedOn w:val="TableNormal"/>
    <w:next w:val="MediumGrid1-Accent3"/>
    <w:uiPriority w:val="67"/>
    <w:semiHidden/>
    <w:unhideWhenUsed/>
    <w:rsid w:val="0057062A"/>
    <w:pPr>
      <w:spacing w:after="0" w:line="240" w:lineRule="auto"/>
    </w:pPr>
    <w:tblPr>
      <w:tblStyleRowBandSize w:val="1"/>
      <w:tblStyleColBandSize w:val="1"/>
      <w:tblBorders>
        <w:top w:val="single" w:sz="8" w:space="0" w:color="82CDC9"/>
        <w:left w:val="single" w:sz="8" w:space="0" w:color="82CDC9"/>
        <w:bottom w:val="single" w:sz="8" w:space="0" w:color="82CDC9"/>
        <w:right w:val="single" w:sz="8" w:space="0" w:color="82CDC9"/>
        <w:insideH w:val="single" w:sz="8" w:space="0" w:color="82CDC9"/>
        <w:insideV w:val="single" w:sz="8" w:space="0" w:color="82CDC9"/>
      </w:tblBorders>
    </w:tblPr>
    <w:tcPr>
      <w:shd w:val="clear" w:color="auto" w:fill="D5EEED"/>
    </w:tcPr>
    <w:tblStylePr w:type="firstRow">
      <w:rPr>
        <w:b/>
        <w:bCs/>
      </w:rPr>
    </w:tblStylePr>
    <w:tblStylePr w:type="lastRow">
      <w:rPr>
        <w:b/>
        <w:bCs/>
      </w:rPr>
      <w:tblPr/>
      <w:tcPr>
        <w:tcBorders>
          <w:top w:val="single" w:sz="18" w:space="0" w:color="82CDC9"/>
        </w:tcBorders>
      </w:tcPr>
    </w:tblStylePr>
    <w:tblStylePr w:type="firstCol">
      <w:rPr>
        <w:b/>
        <w:bCs/>
      </w:rPr>
    </w:tblStylePr>
    <w:tblStylePr w:type="lastCol">
      <w:rPr>
        <w:b/>
        <w:bCs/>
      </w:rPr>
    </w:tblStylePr>
    <w:tblStylePr w:type="band1Vert">
      <w:tblPr/>
      <w:tcPr>
        <w:shd w:val="clear" w:color="auto" w:fill="ACDEDB"/>
      </w:tcPr>
    </w:tblStylePr>
    <w:tblStylePr w:type="band1Horz">
      <w:tblPr/>
      <w:tcPr>
        <w:shd w:val="clear" w:color="auto" w:fill="ACDEDB"/>
      </w:tcPr>
    </w:tblStylePr>
  </w:style>
  <w:style w:type="table" w:customStyle="1" w:styleId="MediumGrid1-Accent42">
    <w:name w:val="Medium Grid 1 - Accent 42"/>
    <w:basedOn w:val="TableNormal"/>
    <w:next w:val="MediumGrid1-Accent4"/>
    <w:uiPriority w:val="67"/>
    <w:semiHidden/>
    <w:unhideWhenUsed/>
    <w:rsid w:val="0057062A"/>
    <w:pPr>
      <w:spacing w:after="0" w:line="240" w:lineRule="auto"/>
    </w:pPr>
    <w:tblPr>
      <w:tblStyleRowBandSize w:val="1"/>
      <w:tblStyleColBandSize w:val="1"/>
      <w:tblBorders>
        <w:top w:val="single" w:sz="8" w:space="0" w:color="FDCA66"/>
        <w:left w:val="single" w:sz="8" w:space="0" w:color="FDCA66"/>
        <w:bottom w:val="single" w:sz="8" w:space="0" w:color="FDCA66"/>
        <w:right w:val="single" w:sz="8" w:space="0" w:color="FDCA66"/>
        <w:insideH w:val="single" w:sz="8" w:space="0" w:color="FDCA66"/>
        <w:insideV w:val="single" w:sz="8" w:space="0" w:color="FDCA66"/>
      </w:tblBorders>
    </w:tblPr>
    <w:tcPr>
      <w:shd w:val="clear" w:color="auto" w:fill="FEEDCC"/>
    </w:tcPr>
    <w:tblStylePr w:type="firstRow">
      <w:rPr>
        <w:b/>
        <w:bCs/>
      </w:rPr>
    </w:tblStylePr>
    <w:tblStylePr w:type="lastRow">
      <w:rPr>
        <w:b/>
        <w:bCs/>
      </w:rPr>
      <w:tblPr/>
      <w:tcPr>
        <w:tcBorders>
          <w:top w:val="single" w:sz="18" w:space="0" w:color="FDCA66"/>
        </w:tcBorders>
      </w:tcPr>
    </w:tblStylePr>
    <w:tblStylePr w:type="firstCol">
      <w:rPr>
        <w:b/>
        <w:bCs/>
      </w:rPr>
    </w:tblStylePr>
    <w:tblStylePr w:type="lastCol">
      <w:rPr>
        <w:b/>
        <w:bCs/>
      </w:rPr>
    </w:tblStylePr>
    <w:tblStylePr w:type="band1Vert">
      <w:tblPr/>
      <w:tcPr>
        <w:shd w:val="clear" w:color="auto" w:fill="FEDC99"/>
      </w:tcPr>
    </w:tblStylePr>
    <w:tblStylePr w:type="band1Horz">
      <w:tblPr/>
      <w:tcPr>
        <w:shd w:val="clear" w:color="auto" w:fill="FEDC99"/>
      </w:tcPr>
    </w:tblStylePr>
  </w:style>
  <w:style w:type="table" w:customStyle="1" w:styleId="MediumGrid1-Accent52">
    <w:name w:val="Medium Grid 1 - Accent 52"/>
    <w:basedOn w:val="TableNormal"/>
    <w:next w:val="MediumGrid1-Accent5"/>
    <w:uiPriority w:val="67"/>
    <w:semiHidden/>
    <w:unhideWhenUsed/>
    <w:rsid w:val="0057062A"/>
    <w:pPr>
      <w:spacing w:after="0" w:line="240" w:lineRule="auto"/>
    </w:pPr>
    <w:tblPr>
      <w:tblStyleRowBandSize w:val="1"/>
      <w:tblStyleColBandSize w:val="1"/>
      <w:tblBorders>
        <w:top w:val="single" w:sz="8" w:space="0" w:color="90C190"/>
        <w:left w:val="single" w:sz="8" w:space="0" w:color="90C190"/>
        <w:bottom w:val="single" w:sz="8" w:space="0" w:color="90C190"/>
        <w:right w:val="single" w:sz="8" w:space="0" w:color="90C190"/>
        <w:insideH w:val="single" w:sz="8" w:space="0" w:color="90C190"/>
        <w:insideV w:val="single" w:sz="8" w:space="0" w:color="90C190"/>
      </w:tblBorders>
    </w:tblPr>
    <w:tcPr>
      <w:shd w:val="clear" w:color="auto" w:fill="DAEADA"/>
    </w:tcPr>
    <w:tblStylePr w:type="firstRow">
      <w:rPr>
        <w:b/>
        <w:bCs/>
      </w:rPr>
    </w:tblStylePr>
    <w:tblStylePr w:type="lastRow">
      <w:rPr>
        <w:b/>
        <w:bCs/>
      </w:rPr>
      <w:tblPr/>
      <w:tcPr>
        <w:tcBorders>
          <w:top w:val="single" w:sz="18" w:space="0" w:color="90C190"/>
        </w:tcBorders>
      </w:tcPr>
    </w:tblStylePr>
    <w:tblStylePr w:type="firstCol">
      <w:rPr>
        <w:b/>
        <w:bCs/>
      </w:rPr>
    </w:tblStylePr>
    <w:tblStylePr w:type="lastCol">
      <w:rPr>
        <w:b/>
        <w:bCs/>
      </w:rPr>
    </w:tblStylePr>
    <w:tblStylePr w:type="band1Vert">
      <w:tblPr/>
      <w:tcPr>
        <w:shd w:val="clear" w:color="auto" w:fill="B5D6B5"/>
      </w:tcPr>
    </w:tblStylePr>
    <w:tblStylePr w:type="band1Horz">
      <w:tblPr/>
      <w:tcPr>
        <w:shd w:val="clear" w:color="auto" w:fill="B5D6B5"/>
      </w:tcPr>
    </w:tblStylePr>
  </w:style>
  <w:style w:type="table" w:customStyle="1" w:styleId="MediumGrid1-Accent62">
    <w:name w:val="Medium Grid 1 - Accent 62"/>
    <w:basedOn w:val="TableNormal"/>
    <w:next w:val="MediumGrid1-Accent6"/>
    <w:uiPriority w:val="67"/>
    <w:semiHidden/>
    <w:unhideWhenUsed/>
    <w:rsid w:val="0057062A"/>
    <w:pPr>
      <w:spacing w:after="0" w:line="240" w:lineRule="auto"/>
    </w:pPr>
    <w:tblPr>
      <w:tblStyleRowBandSize w:val="1"/>
      <w:tblStyleColBandSize w:val="1"/>
      <w:tblBorders>
        <w:top w:val="single" w:sz="8" w:space="0" w:color="DB4E6A"/>
        <w:left w:val="single" w:sz="8" w:space="0" w:color="DB4E6A"/>
        <w:bottom w:val="single" w:sz="8" w:space="0" w:color="DB4E6A"/>
        <w:right w:val="single" w:sz="8" w:space="0" w:color="DB4E6A"/>
        <w:insideH w:val="single" w:sz="8" w:space="0" w:color="DB4E6A"/>
        <w:insideV w:val="single" w:sz="8" w:space="0" w:color="DB4E6A"/>
      </w:tblBorders>
    </w:tblPr>
    <w:tcPr>
      <w:shd w:val="clear" w:color="auto" w:fill="F3C4CD"/>
    </w:tcPr>
    <w:tblStylePr w:type="firstRow">
      <w:rPr>
        <w:b/>
        <w:bCs/>
      </w:rPr>
    </w:tblStylePr>
    <w:tblStylePr w:type="lastRow">
      <w:rPr>
        <w:b/>
        <w:bCs/>
      </w:rPr>
      <w:tblPr/>
      <w:tcPr>
        <w:tcBorders>
          <w:top w:val="single" w:sz="18" w:space="0" w:color="DB4E6A"/>
        </w:tcBorders>
      </w:tcPr>
    </w:tblStylePr>
    <w:tblStylePr w:type="firstCol">
      <w:rPr>
        <w:b/>
        <w:bCs/>
      </w:rPr>
    </w:tblStylePr>
    <w:tblStylePr w:type="lastCol">
      <w:rPr>
        <w:b/>
        <w:bCs/>
      </w:rPr>
    </w:tblStylePr>
    <w:tblStylePr w:type="band1Vert">
      <w:tblPr/>
      <w:tcPr>
        <w:shd w:val="clear" w:color="auto" w:fill="E7899B"/>
      </w:tcPr>
    </w:tblStylePr>
    <w:tblStylePr w:type="band1Horz">
      <w:tblPr/>
      <w:tcPr>
        <w:shd w:val="clear" w:color="auto" w:fill="E7899B"/>
      </w:tcPr>
    </w:tblStylePr>
  </w:style>
  <w:style w:type="table" w:customStyle="1" w:styleId="MediumGrid22">
    <w:name w:val="Medium Grid 22"/>
    <w:basedOn w:val="TableNormal"/>
    <w:next w:val="MediumGrid2"/>
    <w:uiPriority w:val="68"/>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2">
    <w:name w:val="Medium Grid 2 - Accent 12"/>
    <w:basedOn w:val="TableNormal"/>
    <w:next w:val="MediumGrid2-Accent1"/>
    <w:uiPriority w:val="68"/>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02847D"/>
        <w:left w:val="single" w:sz="8" w:space="0" w:color="02847D"/>
        <w:bottom w:val="single" w:sz="8" w:space="0" w:color="02847D"/>
        <w:right w:val="single" w:sz="8" w:space="0" w:color="02847D"/>
        <w:insideH w:val="single" w:sz="8" w:space="0" w:color="02847D"/>
        <w:insideV w:val="single" w:sz="8" w:space="0" w:color="02847D"/>
      </w:tblBorders>
    </w:tblPr>
    <w:tcPr>
      <w:shd w:val="clear" w:color="auto" w:fill="A3FDF8"/>
    </w:tcPr>
    <w:tblStylePr w:type="firstRow">
      <w:rPr>
        <w:b/>
        <w:bCs/>
        <w:color w:val="000000"/>
      </w:rPr>
      <w:tblPr/>
      <w:tcPr>
        <w:shd w:val="clear" w:color="auto" w:fill="DAFEF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B4FEF9"/>
      </w:tcPr>
    </w:tblStylePr>
    <w:tblStylePr w:type="band1Vert">
      <w:tblPr/>
      <w:tcPr>
        <w:shd w:val="clear" w:color="auto" w:fill="46FCF2"/>
      </w:tcPr>
    </w:tblStylePr>
    <w:tblStylePr w:type="band1Horz">
      <w:tblPr/>
      <w:tcPr>
        <w:tcBorders>
          <w:insideH w:val="single" w:sz="6" w:space="0" w:color="02847D"/>
          <w:insideV w:val="single" w:sz="6" w:space="0" w:color="02847D"/>
        </w:tcBorders>
        <w:shd w:val="clear" w:color="auto" w:fill="46FCF2"/>
      </w:tcPr>
    </w:tblStylePr>
    <w:tblStylePr w:type="nwCell">
      <w:tblPr/>
      <w:tcPr>
        <w:shd w:val="clear" w:color="auto" w:fill="FFFFFF"/>
      </w:tcPr>
    </w:tblStylePr>
  </w:style>
  <w:style w:type="table" w:customStyle="1" w:styleId="MediumGrid2-Accent22">
    <w:name w:val="Medium Grid 2 - Accent 22"/>
    <w:basedOn w:val="TableNormal"/>
    <w:next w:val="MediumGrid2-Accent2"/>
    <w:uiPriority w:val="68"/>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F36E44"/>
        <w:left w:val="single" w:sz="8" w:space="0" w:color="F36E44"/>
        <w:bottom w:val="single" w:sz="8" w:space="0" w:color="F36E44"/>
        <w:right w:val="single" w:sz="8" w:space="0" w:color="F36E44"/>
        <w:insideH w:val="single" w:sz="8" w:space="0" w:color="F36E44"/>
        <w:insideV w:val="single" w:sz="8" w:space="0" w:color="F36E44"/>
      </w:tblBorders>
    </w:tblPr>
    <w:tcPr>
      <w:shd w:val="clear" w:color="auto" w:fill="FCDAD0"/>
    </w:tcPr>
    <w:tblStylePr w:type="firstRow">
      <w:rPr>
        <w:b/>
        <w:bCs/>
        <w:color w:val="000000"/>
      </w:rPr>
      <w:tblPr/>
      <w:tcPr>
        <w:shd w:val="clear" w:color="auto" w:fill="FDF0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CE1D9"/>
      </w:tcPr>
    </w:tblStylePr>
    <w:tblStylePr w:type="band1Vert">
      <w:tblPr/>
      <w:tcPr>
        <w:shd w:val="clear" w:color="auto" w:fill="F9B6A1"/>
      </w:tcPr>
    </w:tblStylePr>
    <w:tblStylePr w:type="band1Horz">
      <w:tblPr/>
      <w:tcPr>
        <w:tcBorders>
          <w:insideH w:val="single" w:sz="6" w:space="0" w:color="F36E44"/>
          <w:insideV w:val="single" w:sz="6" w:space="0" w:color="F36E44"/>
        </w:tcBorders>
        <w:shd w:val="clear" w:color="auto" w:fill="F9B6A1"/>
      </w:tcPr>
    </w:tblStylePr>
    <w:tblStylePr w:type="nwCell">
      <w:tblPr/>
      <w:tcPr>
        <w:shd w:val="clear" w:color="auto" w:fill="FFFFFF"/>
      </w:tcPr>
    </w:tblStylePr>
  </w:style>
  <w:style w:type="table" w:customStyle="1" w:styleId="MediumGrid2-Accent32">
    <w:name w:val="Medium Grid 2 - Accent 32"/>
    <w:basedOn w:val="TableNormal"/>
    <w:next w:val="MediumGrid2-Accent3"/>
    <w:uiPriority w:val="68"/>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59BDB8"/>
        <w:left w:val="single" w:sz="8" w:space="0" w:color="59BDB8"/>
        <w:bottom w:val="single" w:sz="8" w:space="0" w:color="59BDB8"/>
        <w:right w:val="single" w:sz="8" w:space="0" w:color="59BDB8"/>
        <w:insideH w:val="single" w:sz="8" w:space="0" w:color="59BDB8"/>
        <w:insideV w:val="single" w:sz="8" w:space="0" w:color="59BDB8"/>
      </w:tblBorders>
    </w:tblPr>
    <w:tcPr>
      <w:shd w:val="clear" w:color="auto" w:fill="D5EEED"/>
    </w:tcPr>
    <w:tblStylePr w:type="firstRow">
      <w:rPr>
        <w:b/>
        <w:bCs/>
        <w:color w:val="000000"/>
      </w:rPr>
      <w:tblPr/>
      <w:tcPr>
        <w:shd w:val="clear" w:color="auto" w:fill="EEF8F7"/>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DF1F0"/>
      </w:tcPr>
    </w:tblStylePr>
    <w:tblStylePr w:type="band1Vert">
      <w:tblPr/>
      <w:tcPr>
        <w:shd w:val="clear" w:color="auto" w:fill="ACDEDB"/>
      </w:tcPr>
    </w:tblStylePr>
    <w:tblStylePr w:type="band1Horz">
      <w:tblPr/>
      <w:tcPr>
        <w:tcBorders>
          <w:insideH w:val="single" w:sz="6" w:space="0" w:color="59BDB8"/>
          <w:insideV w:val="single" w:sz="6" w:space="0" w:color="59BDB8"/>
        </w:tcBorders>
        <w:shd w:val="clear" w:color="auto" w:fill="ACDEDB"/>
      </w:tcPr>
    </w:tblStylePr>
    <w:tblStylePr w:type="nwCell">
      <w:tblPr/>
      <w:tcPr>
        <w:shd w:val="clear" w:color="auto" w:fill="FFFFFF"/>
      </w:tcPr>
    </w:tblStylePr>
  </w:style>
  <w:style w:type="table" w:customStyle="1" w:styleId="MediumGrid2-Accent42">
    <w:name w:val="Medium Grid 2 - Accent 42"/>
    <w:basedOn w:val="TableNormal"/>
    <w:next w:val="MediumGrid2-Accent4"/>
    <w:uiPriority w:val="68"/>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FDB933"/>
        <w:left w:val="single" w:sz="8" w:space="0" w:color="FDB933"/>
        <w:bottom w:val="single" w:sz="8" w:space="0" w:color="FDB933"/>
        <w:right w:val="single" w:sz="8" w:space="0" w:color="FDB933"/>
        <w:insideH w:val="single" w:sz="8" w:space="0" w:color="FDB933"/>
        <w:insideV w:val="single" w:sz="8" w:space="0" w:color="FDB933"/>
      </w:tblBorders>
    </w:tblPr>
    <w:tcPr>
      <w:shd w:val="clear" w:color="auto" w:fill="FEEDCC"/>
    </w:tcPr>
    <w:tblStylePr w:type="firstRow">
      <w:rPr>
        <w:b/>
        <w:bCs/>
        <w:color w:val="000000"/>
      </w:rPr>
      <w:tblPr/>
      <w:tcPr>
        <w:shd w:val="clear" w:color="auto" w:fill="FEF8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EF0D6"/>
      </w:tcPr>
    </w:tblStylePr>
    <w:tblStylePr w:type="band1Vert">
      <w:tblPr/>
      <w:tcPr>
        <w:shd w:val="clear" w:color="auto" w:fill="FEDC99"/>
      </w:tcPr>
    </w:tblStylePr>
    <w:tblStylePr w:type="band1Horz">
      <w:tblPr/>
      <w:tcPr>
        <w:tcBorders>
          <w:insideH w:val="single" w:sz="6" w:space="0" w:color="FDB933"/>
          <w:insideV w:val="single" w:sz="6" w:space="0" w:color="FDB933"/>
        </w:tcBorders>
        <w:shd w:val="clear" w:color="auto" w:fill="FEDC99"/>
      </w:tcPr>
    </w:tblStylePr>
    <w:tblStylePr w:type="nwCell">
      <w:tblPr/>
      <w:tcPr>
        <w:shd w:val="clear" w:color="auto" w:fill="FFFFFF"/>
      </w:tcPr>
    </w:tblStylePr>
  </w:style>
  <w:style w:type="table" w:customStyle="1" w:styleId="MediumGrid2-Accent52">
    <w:name w:val="Medium Grid 2 - Accent 52"/>
    <w:basedOn w:val="TableNormal"/>
    <w:next w:val="MediumGrid2-Accent5"/>
    <w:uiPriority w:val="68"/>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6CAD6C"/>
        <w:left w:val="single" w:sz="8" w:space="0" w:color="6CAD6C"/>
        <w:bottom w:val="single" w:sz="8" w:space="0" w:color="6CAD6C"/>
        <w:right w:val="single" w:sz="8" w:space="0" w:color="6CAD6C"/>
        <w:insideH w:val="single" w:sz="8" w:space="0" w:color="6CAD6C"/>
        <w:insideV w:val="single" w:sz="8" w:space="0" w:color="6CAD6C"/>
      </w:tblBorders>
    </w:tblPr>
    <w:tcPr>
      <w:shd w:val="clear" w:color="auto" w:fill="DAEADA"/>
    </w:tcPr>
    <w:tblStylePr w:type="firstRow">
      <w:rPr>
        <w:b/>
        <w:bCs/>
        <w:color w:val="000000"/>
      </w:rPr>
      <w:tblPr/>
      <w:tcPr>
        <w:shd w:val="clear" w:color="auto" w:fill="F0F7F0"/>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1EEE1"/>
      </w:tcPr>
    </w:tblStylePr>
    <w:tblStylePr w:type="band1Vert">
      <w:tblPr/>
      <w:tcPr>
        <w:shd w:val="clear" w:color="auto" w:fill="B5D6B5"/>
      </w:tcPr>
    </w:tblStylePr>
    <w:tblStylePr w:type="band1Horz">
      <w:tblPr/>
      <w:tcPr>
        <w:tcBorders>
          <w:insideH w:val="single" w:sz="6" w:space="0" w:color="6CAD6C"/>
          <w:insideV w:val="single" w:sz="6" w:space="0" w:color="6CAD6C"/>
        </w:tcBorders>
        <w:shd w:val="clear" w:color="auto" w:fill="B5D6B5"/>
      </w:tcPr>
    </w:tblStylePr>
    <w:tblStylePr w:type="nwCell">
      <w:tblPr/>
      <w:tcPr>
        <w:shd w:val="clear" w:color="auto" w:fill="FFFFFF"/>
      </w:tcPr>
    </w:tblStylePr>
  </w:style>
  <w:style w:type="table" w:customStyle="1" w:styleId="MediumGrid2-Accent62">
    <w:name w:val="Medium Grid 2 - Accent 62"/>
    <w:basedOn w:val="TableNormal"/>
    <w:next w:val="MediumGrid2-Accent6"/>
    <w:uiPriority w:val="68"/>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BD2644"/>
        <w:left w:val="single" w:sz="8" w:space="0" w:color="BD2644"/>
        <w:bottom w:val="single" w:sz="8" w:space="0" w:color="BD2644"/>
        <w:right w:val="single" w:sz="8" w:space="0" w:color="BD2644"/>
        <w:insideH w:val="single" w:sz="8" w:space="0" w:color="BD2644"/>
        <w:insideV w:val="single" w:sz="8" w:space="0" w:color="BD2644"/>
      </w:tblBorders>
    </w:tblPr>
    <w:tcPr>
      <w:shd w:val="clear" w:color="auto" w:fill="F3C4CD"/>
    </w:tcPr>
    <w:tblStylePr w:type="firstRow">
      <w:rPr>
        <w:b/>
        <w:bCs/>
        <w:color w:val="000000"/>
      </w:rPr>
      <w:tblPr/>
      <w:tcPr>
        <w:shd w:val="clear" w:color="auto" w:fill="FAE7E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5CFD7"/>
      </w:tcPr>
    </w:tblStylePr>
    <w:tblStylePr w:type="band1Vert">
      <w:tblPr/>
      <w:tcPr>
        <w:shd w:val="clear" w:color="auto" w:fill="E7899B"/>
      </w:tcPr>
    </w:tblStylePr>
    <w:tblStylePr w:type="band1Horz">
      <w:tblPr/>
      <w:tcPr>
        <w:tcBorders>
          <w:insideH w:val="single" w:sz="6" w:space="0" w:color="BD2644"/>
          <w:insideV w:val="single" w:sz="6" w:space="0" w:color="BD2644"/>
        </w:tcBorders>
        <w:shd w:val="clear" w:color="auto" w:fill="E7899B"/>
      </w:tcPr>
    </w:tblStylePr>
    <w:tblStylePr w:type="nwCell">
      <w:tblPr/>
      <w:tcPr>
        <w:shd w:val="clear" w:color="auto" w:fill="FFFFFF"/>
      </w:tcPr>
    </w:tblStylePr>
  </w:style>
  <w:style w:type="table" w:customStyle="1" w:styleId="MediumGrid32">
    <w:name w:val="Medium Grid 32"/>
    <w:basedOn w:val="TableNormal"/>
    <w:next w:val="MediumGrid3"/>
    <w:uiPriority w:val="69"/>
    <w:semiHidden/>
    <w:unhideWhenUsed/>
    <w:rsid w:val="0057062A"/>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uiPriority w:val="69"/>
    <w:semiHidden/>
    <w:unhideWhenUsed/>
    <w:rsid w:val="0057062A"/>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3FDF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2847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2847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2847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2847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6FCF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6FCF2"/>
      </w:tcPr>
    </w:tblStylePr>
  </w:style>
  <w:style w:type="table" w:customStyle="1" w:styleId="MediumGrid3-Accent22">
    <w:name w:val="Medium Grid 3 - Accent 22"/>
    <w:basedOn w:val="TableNormal"/>
    <w:next w:val="MediumGrid3-Accent2"/>
    <w:uiPriority w:val="69"/>
    <w:semiHidden/>
    <w:unhideWhenUsed/>
    <w:rsid w:val="0057062A"/>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CDA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36E4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36E4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36E4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36E4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9B6A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9B6A1"/>
      </w:tcPr>
    </w:tblStylePr>
  </w:style>
  <w:style w:type="table" w:customStyle="1" w:styleId="MediumGrid3-Accent32">
    <w:name w:val="Medium Grid 3 - Accent 32"/>
    <w:basedOn w:val="TableNormal"/>
    <w:next w:val="MediumGrid3-Accent3"/>
    <w:uiPriority w:val="69"/>
    <w:semiHidden/>
    <w:unhideWhenUsed/>
    <w:rsid w:val="0057062A"/>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5EEE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9BDB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9BDB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9BDB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9BDB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CDED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CDEDB"/>
      </w:tcPr>
    </w:tblStylePr>
  </w:style>
  <w:style w:type="table" w:customStyle="1" w:styleId="MediumGrid3-Accent42">
    <w:name w:val="Medium Grid 3 - Accent 42"/>
    <w:basedOn w:val="TableNormal"/>
    <w:next w:val="MediumGrid3-Accent4"/>
    <w:uiPriority w:val="69"/>
    <w:semiHidden/>
    <w:unhideWhenUsed/>
    <w:rsid w:val="0057062A"/>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EED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DB93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DB93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DB93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DB93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EDC99"/>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EDC99"/>
      </w:tcPr>
    </w:tblStylePr>
  </w:style>
  <w:style w:type="table" w:customStyle="1" w:styleId="MediumGrid3-Accent52">
    <w:name w:val="Medium Grid 3 - Accent 52"/>
    <w:basedOn w:val="TableNormal"/>
    <w:next w:val="MediumGrid3-Accent5"/>
    <w:uiPriority w:val="69"/>
    <w:semiHidden/>
    <w:unhideWhenUsed/>
    <w:rsid w:val="0057062A"/>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AEAD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6CAD6C"/>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6CAD6C"/>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6CAD6C"/>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6CAD6C"/>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5D6B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5D6B5"/>
      </w:tcPr>
    </w:tblStylePr>
  </w:style>
  <w:style w:type="table" w:customStyle="1" w:styleId="MediumGrid3-Accent62">
    <w:name w:val="Medium Grid 3 - Accent 62"/>
    <w:basedOn w:val="TableNormal"/>
    <w:next w:val="MediumGrid3-Accent6"/>
    <w:uiPriority w:val="69"/>
    <w:semiHidden/>
    <w:unhideWhenUsed/>
    <w:rsid w:val="0057062A"/>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3C4C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BD264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BD264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BD264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BD264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7899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7899B"/>
      </w:tcPr>
    </w:tblStylePr>
  </w:style>
  <w:style w:type="table" w:customStyle="1" w:styleId="MediumList12">
    <w:name w:val="Medium List 12"/>
    <w:basedOn w:val="TableNormal"/>
    <w:next w:val="MediumList1"/>
    <w:uiPriority w:val="65"/>
    <w:semiHidden/>
    <w:unhideWhenUsed/>
    <w:rsid w:val="0057062A"/>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rPr>
        <w:rFonts w:ascii="Calibri Light" w:eastAsia="Arial Narrow" w:hAnsi="Calibri Light" w:cs="Tunga"/>
      </w:rPr>
      <w:tblPr/>
      <w:tcPr>
        <w:tcBorders>
          <w:top w:val="nil"/>
          <w:bottom w:val="single" w:sz="8" w:space="0" w:color="000000"/>
        </w:tcBorders>
      </w:tcPr>
    </w:tblStylePr>
    <w:tblStylePr w:type="lastRow">
      <w:rPr>
        <w:b/>
        <w:bCs/>
        <w:color w:val="245F95"/>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65"/>
    <w:semiHidden/>
    <w:unhideWhenUsed/>
    <w:rsid w:val="0057062A"/>
    <w:pPr>
      <w:spacing w:after="0" w:line="240" w:lineRule="auto"/>
    </w:pPr>
    <w:rPr>
      <w:color w:val="000000"/>
    </w:rPr>
    <w:tblPr>
      <w:tblStyleRowBandSize w:val="1"/>
      <w:tblStyleColBandSize w:val="1"/>
      <w:tblBorders>
        <w:top w:val="single" w:sz="8" w:space="0" w:color="02847D"/>
        <w:bottom w:val="single" w:sz="8" w:space="0" w:color="02847D"/>
      </w:tblBorders>
    </w:tblPr>
    <w:tblStylePr w:type="firstRow">
      <w:rPr>
        <w:rFonts w:ascii="Calibri Light" w:eastAsia="Arial Narrow" w:hAnsi="Calibri Light" w:cs="Tunga"/>
      </w:rPr>
      <w:tblPr/>
      <w:tcPr>
        <w:tcBorders>
          <w:top w:val="nil"/>
          <w:bottom w:val="single" w:sz="8" w:space="0" w:color="02847D"/>
        </w:tcBorders>
      </w:tcPr>
    </w:tblStylePr>
    <w:tblStylePr w:type="lastRow">
      <w:rPr>
        <w:b/>
        <w:bCs/>
        <w:color w:val="245F95"/>
      </w:rPr>
      <w:tblPr/>
      <w:tcPr>
        <w:tcBorders>
          <w:top w:val="single" w:sz="8" w:space="0" w:color="02847D"/>
          <w:bottom w:val="single" w:sz="8" w:space="0" w:color="02847D"/>
        </w:tcBorders>
      </w:tcPr>
    </w:tblStylePr>
    <w:tblStylePr w:type="firstCol">
      <w:rPr>
        <w:b/>
        <w:bCs/>
      </w:rPr>
    </w:tblStylePr>
    <w:tblStylePr w:type="lastCol">
      <w:rPr>
        <w:b/>
        <w:bCs/>
      </w:rPr>
      <w:tblPr/>
      <w:tcPr>
        <w:tcBorders>
          <w:top w:val="single" w:sz="8" w:space="0" w:color="02847D"/>
          <w:bottom w:val="single" w:sz="8" w:space="0" w:color="02847D"/>
        </w:tcBorders>
      </w:tcPr>
    </w:tblStylePr>
    <w:tblStylePr w:type="band1Vert">
      <w:tblPr/>
      <w:tcPr>
        <w:shd w:val="clear" w:color="auto" w:fill="A3FDF8"/>
      </w:tcPr>
    </w:tblStylePr>
    <w:tblStylePr w:type="band1Horz">
      <w:tblPr/>
      <w:tcPr>
        <w:shd w:val="clear" w:color="auto" w:fill="A3FDF8"/>
      </w:tcPr>
    </w:tblStylePr>
  </w:style>
  <w:style w:type="table" w:customStyle="1" w:styleId="MediumList1-Accent22">
    <w:name w:val="Medium List 1 - Accent 22"/>
    <w:basedOn w:val="TableNormal"/>
    <w:next w:val="MediumList1-Accent2"/>
    <w:uiPriority w:val="65"/>
    <w:semiHidden/>
    <w:unhideWhenUsed/>
    <w:rsid w:val="0057062A"/>
    <w:pPr>
      <w:spacing w:after="0" w:line="240" w:lineRule="auto"/>
    </w:pPr>
    <w:rPr>
      <w:color w:val="000000"/>
    </w:rPr>
    <w:tblPr>
      <w:tblStyleRowBandSize w:val="1"/>
      <w:tblStyleColBandSize w:val="1"/>
      <w:tblBorders>
        <w:top w:val="single" w:sz="8" w:space="0" w:color="F36E44"/>
        <w:bottom w:val="single" w:sz="8" w:space="0" w:color="F36E44"/>
      </w:tblBorders>
    </w:tblPr>
    <w:tblStylePr w:type="firstRow">
      <w:rPr>
        <w:rFonts w:ascii="Calibri Light" w:eastAsia="Arial Narrow" w:hAnsi="Calibri Light" w:cs="Tunga"/>
      </w:rPr>
      <w:tblPr/>
      <w:tcPr>
        <w:tcBorders>
          <w:top w:val="nil"/>
          <w:bottom w:val="single" w:sz="8" w:space="0" w:color="F36E44"/>
        </w:tcBorders>
      </w:tcPr>
    </w:tblStylePr>
    <w:tblStylePr w:type="lastRow">
      <w:rPr>
        <w:b/>
        <w:bCs/>
        <w:color w:val="245F95"/>
      </w:rPr>
      <w:tblPr/>
      <w:tcPr>
        <w:tcBorders>
          <w:top w:val="single" w:sz="8" w:space="0" w:color="F36E44"/>
          <w:bottom w:val="single" w:sz="8" w:space="0" w:color="F36E44"/>
        </w:tcBorders>
      </w:tcPr>
    </w:tblStylePr>
    <w:tblStylePr w:type="firstCol">
      <w:rPr>
        <w:b/>
        <w:bCs/>
      </w:rPr>
    </w:tblStylePr>
    <w:tblStylePr w:type="lastCol">
      <w:rPr>
        <w:b/>
        <w:bCs/>
      </w:rPr>
      <w:tblPr/>
      <w:tcPr>
        <w:tcBorders>
          <w:top w:val="single" w:sz="8" w:space="0" w:color="F36E44"/>
          <w:bottom w:val="single" w:sz="8" w:space="0" w:color="F36E44"/>
        </w:tcBorders>
      </w:tcPr>
    </w:tblStylePr>
    <w:tblStylePr w:type="band1Vert">
      <w:tblPr/>
      <w:tcPr>
        <w:shd w:val="clear" w:color="auto" w:fill="FCDAD0"/>
      </w:tcPr>
    </w:tblStylePr>
    <w:tblStylePr w:type="band1Horz">
      <w:tblPr/>
      <w:tcPr>
        <w:shd w:val="clear" w:color="auto" w:fill="FCDAD0"/>
      </w:tcPr>
    </w:tblStylePr>
  </w:style>
  <w:style w:type="table" w:customStyle="1" w:styleId="MediumList1-Accent32">
    <w:name w:val="Medium List 1 - Accent 32"/>
    <w:basedOn w:val="TableNormal"/>
    <w:next w:val="MediumList1-Accent3"/>
    <w:uiPriority w:val="65"/>
    <w:semiHidden/>
    <w:unhideWhenUsed/>
    <w:rsid w:val="0057062A"/>
    <w:pPr>
      <w:spacing w:after="0" w:line="240" w:lineRule="auto"/>
    </w:pPr>
    <w:rPr>
      <w:color w:val="000000"/>
    </w:rPr>
    <w:tblPr>
      <w:tblStyleRowBandSize w:val="1"/>
      <w:tblStyleColBandSize w:val="1"/>
      <w:tblBorders>
        <w:top w:val="single" w:sz="8" w:space="0" w:color="59BDB8"/>
        <w:bottom w:val="single" w:sz="8" w:space="0" w:color="59BDB8"/>
      </w:tblBorders>
    </w:tblPr>
    <w:tblStylePr w:type="firstRow">
      <w:rPr>
        <w:rFonts w:ascii="Calibri Light" w:eastAsia="Arial Narrow" w:hAnsi="Calibri Light" w:cs="Tunga"/>
      </w:rPr>
      <w:tblPr/>
      <w:tcPr>
        <w:tcBorders>
          <w:top w:val="nil"/>
          <w:bottom w:val="single" w:sz="8" w:space="0" w:color="59BDB8"/>
        </w:tcBorders>
      </w:tcPr>
    </w:tblStylePr>
    <w:tblStylePr w:type="lastRow">
      <w:rPr>
        <w:b/>
        <w:bCs/>
        <w:color w:val="245F95"/>
      </w:rPr>
      <w:tblPr/>
      <w:tcPr>
        <w:tcBorders>
          <w:top w:val="single" w:sz="8" w:space="0" w:color="59BDB8"/>
          <w:bottom w:val="single" w:sz="8" w:space="0" w:color="59BDB8"/>
        </w:tcBorders>
      </w:tcPr>
    </w:tblStylePr>
    <w:tblStylePr w:type="firstCol">
      <w:rPr>
        <w:b/>
        <w:bCs/>
      </w:rPr>
    </w:tblStylePr>
    <w:tblStylePr w:type="lastCol">
      <w:rPr>
        <w:b/>
        <w:bCs/>
      </w:rPr>
      <w:tblPr/>
      <w:tcPr>
        <w:tcBorders>
          <w:top w:val="single" w:sz="8" w:space="0" w:color="59BDB8"/>
          <w:bottom w:val="single" w:sz="8" w:space="0" w:color="59BDB8"/>
        </w:tcBorders>
      </w:tcPr>
    </w:tblStylePr>
    <w:tblStylePr w:type="band1Vert">
      <w:tblPr/>
      <w:tcPr>
        <w:shd w:val="clear" w:color="auto" w:fill="D5EEED"/>
      </w:tcPr>
    </w:tblStylePr>
    <w:tblStylePr w:type="band1Horz">
      <w:tblPr/>
      <w:tcPr>
        <w:shd w:val="clear" w:color="auto" w:fill="D5EEED"/>
      </w:tcPr>
    </w:tblStylePr>
  </w:style>
  <w:style w:type="table" w:customStyle="1" w:styleId="MediumList1-Accent42">
    <w:name w:val="Medium List 1 - Accent 42"/>
    <w:basedOn w:val="TableNormal"/>
    <w:next w:val="MediumList1-Accent4"/>
    <w:uiPriority w:val="65"/>
    <w:semiHidden/>
    <w:unhideWhenUsed/>
    <w:rsid w:val="0057062A"/>
    <w:pPr>
      <w:spacing w:after="0" w:line="240" w:lineRule="auto"/>
    </w:pPr>
    <w:rPr>
      <w:color w:val="000000"/>
    </w:rPr>
    <w:tblPr>
      <w:tblStyleRowBandSize w:val="1"/>
      <w:tblStyleColBandSize w:val="1"/>
      <w:tblBorders>
        <w:top w:val="single" w:sz="8" w:space="0" w:color="FDB933"/>
        <w:bottom w:val="single" w:sz="8" w:space="0" w:color="FDB933"/>
      </w:tblBorders>
    </w:tblPr>
    <w:tblStylePr w:type="firstRow">
      <w:rPr>
        <w:rFonts w:ascii="Calibri Light" w:eastAsia="Arial Narrow" w:hAnsi="Calibri Light" w:cs="Tunga"/>
      </w:rPr>
      <w:tblPr/>
      <w:tcPr>
        <w:tcBorders>
          <w:top w:val="nil"/>
          <w:bottom w:val="single" w:sz="8" w:space="0" w:color="FDB933"/>
        </w:tcBorders>
      </w:tcPr>
    </w:tblStylePr>
    <w:tblStylePr w:type="lastRow">
      <w:rPr>
        <w:b/>
        <w:bCs/>
        <w:color w:val="245F95"/>
      </w:rPr>
      <w:tblPr/>
      <w:tcPr>
        <w:tcBorders>
          <w:top w:val="single" w:sz="8" w:space="0" w:color="FDB933"/>
          <w:bottom w:val="single" w:sz="8" w:space="0" w:color="FDB933"/>
        </w:tcBorders>
      </w:tcPr>
    </w:tblStylePr>
    <w:tblStylePr w:type="firstCol">
      <w:rPr>
        <w:b/>
        <w:bCs/>
      </w:rPr>
    </w:tblStylePr>
    <w:tblStylePr w:type="lastCol">
      <w:rPr>
        <w:b/>
        <w:bCs/>
      </w:rPr>
      <w:tblPr/>
      <w:tcPr>
        <w:tcBorders>
          <w:top w:val="single" w:sz="8" w:space="0" w:color="FDB933"/>
          <w:bottom w:val="single" w:sz="8" w:space="0" w:color="FDB933"/>
        </w:tcBorders>
      </w:tcPr>
    </w:tblStylePr>
    <w:tblStylePr w:type="band1Vert">
      <w:tblPr/>
      <w:tcPr>
        <w:shd w:val="clear" w:color="auto" w:fill="FEEDCC"/>
      </w:tcPr>
    </w:tblStylePr>
    <w:tblStylePr w:type="band1Horz">
      <w:tblPr/>
      <w:tcPr>
        <w:shd w:val="clear" w:color="auto" w:fill="FEEDCC"/>
      </w:tcPr>
    </w:tblStylePr>
  </w:style>
  <w:style w:type="table" w:customStyle="1" w:styleId="MediumList1-Accent52">
    <w:name w:val="Medium List 1 - Accent 52"/>
    <w:basedOn w:val="TableNormal"/>
    <w:next w:val="MediumList1-Accent5"/>
    <w:uiPriority w:val="65"/>
    <w:semiHidden/>
    <w:unhideWhenUsed/>
    <w:rsid w:val="0057062A"/>
    <w:pPr>
      <w:spacing w:after="0" w:line="240" w:lineRule="auto"/>
    </w:pPr>
    <w:rPr>
      <w:color w:val="000000"/>
    </w:rPr>
    <w:tblPr>
      <w:tblStyleRowBandSize w:val="1"/>
      <w:tblStyleColBandSize w:val="1"/>
      <w:tblBorders>
        <w:top w:val="single" w:sz="8" w:space="0" w:color="6CAD6C"/>
        <w:bottom w:val="single" w:sz="8" w:space="0" w:color="6CAD6C"/>
      </w:tblBorders>
    </w:tblPr>
    <w:tblStylePr w:type="firstRow">
      <w:rPr>
        <w:rFonts w:ascii="Calibri Light" w:eastAsia="Arial Narrow" w:hAnsi="Calibri Light" w:cs="Tunga"/>
      </w:rPr>
      <w:tblPr/>
      <w:tcPr>
        <w:tcBorders>
          <w:top w:val="nil"/>
          <w:bottom w:val="single" w:sz="8" w:space="0" w:color="6CAD6C"/>
        </w:tcBorders>
      </w:tcPr>
    </w:tblStylePr>
    <w:tblStylePr w:type="lastRow">
      <w:rPr>
        <w:b/>
        <w:bCs/>
        <w:color w:val="245F95"/>
      </w:rPr>
      <w:tblPr/>
      <w:tcPr>
        <w:tcBorders>
          <w:top w:val="single" w:sz="8" w:space="0" w:color="6CAD6C"/>
          <w:bottom w:val="single" w:sz="8" w:space="0" w:color="6CAD6C"/>
        </w:tcBorders>
      </w:tcPr>
    </w:tblStylePr>
    <w:tblStylePr w:type="firstCol">
      <w:rPr>
        <w:b/>
        <w:bCs/>
      </w:rPr>
    </w:tblStylePr>
    <w:tblStylePr w:type="lastCol">
      <w:rPr>
        <w:b/>
        <w:bCs/>
      </w:rPr>
      <w:tblPr/>
      <w:tcPr>
        <w:tcBorders>
          <w:top w:val="single" w:sz="8" w:space="0" w:color="6CAD6C"/>
          <w:bottom w:val="single" w:sz="8" w:space="0" w:color="6CAD6C"/>
        </w:tcBorders>
      </w:tcPr>
    </w:tblStylePr>
    <w:tblStylePr w:type="band1Vert">
      <w:tblPr/>
      <w:tcPr>
        <w:shd w:val="clear" w:color="auto" w:fill="DAEADA"/>
      </w:tcPr>
    </w:tblStylePr>
    <w:tblStylePr w:type="band1Horz">
      <w:tblPr/>
      <w:tcPr>
        <w:shd w:val="clear" w:color="auto" w:fill="DAEADA"/>
      </w:tcPr>
    </w:tblStylePr>
  </w:style>
  <w:style w:type="table" w:customStyle="1" w:styleId="MediumList1-Accent62">
    <w:name w:val="Medium List 1 - Accent 62"/>
    <w:basedOn w:val="TableNormal"/>
    <w:next w:val="MediumList1-Accent6"/>
    <w:uiPriority w:val="65"/>
    <w:semiHidden/>
    <w:unhideWhenUsed/>
    <w:rsid w:val="0057062A"/>
    <w:pPr>
      <w:spacing w:after="0" w:line="240" w:lineRule="auto"/>
    </w:pPr>
    <w:rPr>
      <w:color w:val="000000"/>
    </w:rPr>
    <w:tblPr>
      <w:tblStyleRowBandSize w:val="1"/>
      <w:tblStyleColBandSize w:val="1"/>
      <w:tblBorders>
        <w:top w:val="single" w:sz="8" w:space="0" w:color="BD2644"/>
        <w:bottom w:val="single" w:sz="8" w:space="0" w:color="BD2644"/>
      </w:tblBorders>
    </w:tblPr>
    <w:tblStylePr w:type="firstRow">
      <w:rPr>
        <w:rFonts w:ascii="Calibri Light" w:eastAsia="Arial Narrow" w:hAnsi="Calibri Light" w:cs="Tunga"/>
      </w:rPr>
      <w:tblPr/>
      <w:tcPr>
        <w:tcBorders>
          <w:top w:val="nil"/>
          <w:bottom w:val="single" w:sz="8" w:space="0" w:color="BD2644"/>
        </w:tcBorders>
      </w:tcPr>
    </w:tblStylePr>
    <w:tblStylePr w:type="lastRow">
      <w:rPr>
        <w:b/>
        <w:bCs/>
        <w:color w:val="245F95"/>
      </w:rPr>
      <w:tblPr/>
      <w:tcPr>
        <w:tcBorders>
          <w:top w:val="single" w:sz="8" w:space="0" w:color="BD2644"/>
          <w:bottom w:val="single" w:sz="8" w:space="0" w:color="BD2644"/>
        </w:tcBorders>
      </w:tcPr>
    </w:tblStylePr>
    <w:tblStylePr w:type="firstCol">
      <w:rPr>
        <w:b/>
        <w:bCs/>
      </w:rPr>
    </w:tblStylePr>
    <w:tblStylePr w:type="lastCol">
      <w:rPr>
        <w:b/>
        <w:bCs/>
      </w:rPr>
      <w:tblPr/>
      <w:tcPr>
        <w:tcBorders>
          <w:top w:val="single" w:sz="8" w:space="0" w:color="BD2644"/>
          <w:bottom w:val="single" w:sz="8" w:space="0" w:color="BD2644"/>
        </w:tcBorders>
      </w:tcPr>
    </w:tblStylePr>
    <w:tblStylePr w:type="band1Vert">
      <w:tblPr/>
      <w:tcPr>
        <w:shd w:val="clear" w:color="auto" w:fill="F3C4CD"/>
      </w:tcPr>
    </w:tblStylePr>
    <w:tblStylePr w:type="band1Horz">
      <w:tblPr/>
      <w:tcPr>
        <w:shd w:val="clear" w:color="auto" w:fill="F3C4CD"/>
      </w:tcPr>
    </w:tblStylePr>
  </w:style>
  <w:style w:type="table" w:customStyle="1" w:styleId="MediumList22">
    <w:name w:val="Medium List 22"/>
    <w:basedOn w:val="TableNormal"/>
    <w:next w:val="MediumList2"/>
    <w:uiPriority w:val="66"/>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66"/>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02847D"/>
        <w:left w:val="single" w:sz="8" w:space="0" w:color="02847D"/>
        <w:bottom w:val="single" w:sz="8" w:space="0" w:color="02847D"/>
        <w:right w:val="single" w:sz="8" w:space="0" w:color="02847D"/>
      </w:tblBorders>
    </w:tblPr>
    <w:tblStylePr w:type="firstRow">
      <w:rPr>
        <w:sz w:val="24"/>
        <w:szCs w:val="24"/>
      </w:rPr>
      <w:tblPr/>
      <w:tcPr>
        <w:tcBorders>
          <w:top w:val="nil"/>
          <w:left w:val="nil"/>
          <w:bottom w:val="single" w:sz="24" w:space="0" w:color="02847D"/>
          <w:right w:val="nil"/>
          <w:insideH w:val="nil"/>
          <w:insideV w:val="nil"/>
        </w:tcBorders>
        <w:shd w:val="clear" w:color="auto" w:fill="FFFFFF"/>
      </w:tcPr>
    </w:tblStylePr>
    <w:tblStylePr w:type="lastRow">
      <w:tblPr/>
      <w:tcPr>
        <w:tcBorders>
          <w:top w:val="single" w:sz="8" w:space="0" w:color="02847D"/>
          <w:left w:val="nil"/>
          <w:bottom w:val="nil"/>
          <w:right w:val="nil"/>
          <w:insideH w:val="nil"/>
          <w:insideV w:val="nil"/>
        </w:tcBorders>
        <w:shd w:val="clear" w:color="auto" w:fill="FFFFFF"/>
      </w:tcPr>
    </w:tblStylePr>
    <w:tblStylePr w:type="firstCol">
      <w:tblPr/>
      <w:tcPr>
        <w:tcBorders>
          <w:top w:val="nil"/>
          <w:left w:val="nil"/>
          <w:bottom w:val="nil"/>
          <w:right w:val="single" w:sz="8" w:space="0" w:color="02847D"/>
          <w:insideH w:val="nil"/>
          <w:insideV w:val="nil"/>
        </w:tcBorders>
        <w:shd w:val="clear" w:color="auto" w:fill="FFFFFF"/>
      </w:tcPr>
    </w:tblStylePr>
    <w:tblStylePr w:type="lastCol">
      <w:tblPr/>
      <w:tcPr>
        <w:tcBorders>
          <w:top w:val="nil"/>
          <w:left w:val="single" w:sz="8" w:space="0" w:color="02847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3FDF8"/>
      </w:tcPr>
    </w:tblStylePr>
    <w:tblStylePr w:type="band1Horz">
      <w:tblPr/>
      <w:tcPr>
        <w:tcBorders>
          <w:top w:val="nil"/>
          <w:bottom w:val="nil"/>
          <w:insideH w:val="nil"/>
          <w:insideV w:val="nil"/>
        </w:tcBorders>
        <w:shd w:val="clear" w:color="auto" w:fill="A3FDF8"/>
      </w:tcPr>
    </w:tblStylePr>
    <w:tblStylePr w:type="nwCell">
      <w:tblPr/>
      <w:tcPr>
        <w:shd w:val="clear" w:color="auto" w:fill="FFFFFF"/>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66"/>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F36E44"/>
        <w:left w:val="single" w:sz="8" w:space="0" w:color="F36E44"/>
        <w:bottom w:val="single" w:sz="8" w:space="0" w:color="F36E44"/>
        <w:right w:val="single" w:sz="8" w:space="0" w:color="F36E44"/>
      </w:tblBorders>
    </w:tblPr>
    <w:tblStylePr w:type="firstRow">
      <w:rPr>
        <w:sz w:val="24"/>
        <w:szCs w:val="24"/>
      </w:rPr>
      <w:tblPr/>
      <w:tcPr>
        <w:tcBorders>
          <w:top w:val="nil"/>
          <w:left w:val="nil"/>
          <w:bottom w:val="single" w:sz="24" w:space="0" w:color="F36E44"/>
          <w:right w:val="nil"/>
          <w:insideH w:val="nil"/>
          <w:insideV w:val="nil"/>
        </w:tcBorders>
        <w:shd w:val="clear" w:color="auto" w:fill="FFFFFF"/>
      </w:tcPr>
    </w:tblStylePr>
    <w:tblStylePr w:type="lastRow">
      <w:tblPr/>
      <w:tcPr>
        <w:tcBorders>
          <w:top w:val="single" w:sz="8" w:space="0" w:color="F36E44"/>
          <w:left w:val="nil"/>
          <w:right w:val="nil"/>
          <w:insideH w:val="nil"/>
          <w:insideV w:val="nil"/>
        </w:tcBorders>
        <w:shd w:val="clear" w:color="auto" w:fill="FFFFFF"/>
      </w:tcPr>
    </w:tblStylePr>
    <w:tblStylePr w:type="firstCol">
      <w:tblPr/>
      <w:tcPr>
        <w:tcBorders>
          <w:top w:val="nil"/>
          <w:left w:val="nil"/>
          <w:bottom w:val="nil"/>
          <w:right w:val="single" w:sz="8" w:space="0" w:color="F36E44"/>
          <w:insideH w:val="nil"/>
          <w:insideV w:val="nil"/>
        </w:tcBorders>
        <w:shd w:val="clear" w:color="auto" w:fill="FFFFFF"/>
      </w:tcPr>
    </w:tblStylePr>
    <w:tblStylePr w:type="lastCol">
      <w:tblPr/>
      <w:tcPr>
        <w:tcBorders>
          <w:top w:val="nil"/>
          <w:left w:val="single" w:sz="8" w:space="0" w:color="F36E4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CDAD0"/>
      </w:tcPr>
    </w:tblStylePr>
    <w:tblStylePr w:type="band1Horz">
      <w:tblPr/>
      <w:tcPr>
        <w:tcBorders>
          <w:top w:val="nil"/>
          <w:bottom w:val="nil"/>
          <w:insideH w:val="nil"/>
          <w:insideV w:val="nil"/>
        </w:tcBorders>
        <w:shd w:val="clear" w:color="auto" w:fill="FCDAD0"/>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66"/>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59BDB8"/>
        <w:left w:val="single" w:sz="8" w:space="0" w:color="59BDB8"/>
        <w:bottom w:val="single" w:sz="8" w:space="0" w:color="59BDB8"/>
        <w:right w:val="single" w:sz="8" w:space="0" w:color="59BDB8"/>
      </w:tblBorders>
    </w:tblPr>
    <w:tblStylePr w:type="firstRow">
      <w:rPr>
        <w:sz w:val="24"/>
        <w:szCs w:val="24"/>
      </w:rPr>
      <w:tblPr/>
      <w:tcPr>
        <w:tcBorders>
          <w:top w:val="nil"/>
          <w:left w:val="nil"/>
          <w:bottom w:val="single" w:sz="24" w:space="0" w:color="59BDB8"/>
          <w:right w:val="nil"/>
          <w:insideH w:val="nil"/>
          <w:insideV w:val="nil"/>
        </w:tcBorders>
        <w:shd w:val="clear" w:color="auto" w:fill="FFFFFF"/>
      </w:tcPr>
    </w:tblStylePr>
    <w:tblStylePr w:type="lastRow">
      <w:tblPr/>
      <w:tcPr>
        <w:tcBorders>
          <w:top w:val="single" w:sz="8" w:space="0" w:color="59BDB8"/>
          <w:left w:val="nil"/>
          <w:bottom w:val="nil"/>
          <w:right w:val="nil"/>
          <w:insideH w:val="nil"/>
          <w:insideV w:val="nil"/>
        </w:tcBorders>
        <w:shd w:val="clear" w:color="auto" w:fill="FFFFFF"/>
      </w:tcPr>
    </w:tblStylePr>
    <w:tblStylePr w:type="firstCol">
      <w:tblPr/>
      <w:tcPr>
        <w:tcBorders>
          <w:top w:val="nil"/>
          <w:left w:val="nil"/>
          <w:bottom w:val="nil"/>
          <w:right w:val="single" w:sz="8" w:space="0" w:color="59BDB8"/>
          <w:insideH w:val="nil"/>
          <w:insideV w:val="nil"/>
        </w:tcBorders>
        <w:shd w:val="clear" w:color="auto" w:fill="FFFFFF"/>
      </w:tcPr>
    </w:tblStylePr>
    <w:tblStylePr w:type="lastCol">
      <w:tblPr/>
      <w:tcPr>
        <w:tcBorders>
          <w:top w:val="nil"/>
          <w:left w:val="single" w:sz="8" w:space="0" w:color="59BDB8"/>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5EEED"/>
      </w:tcPr>
    </w:tblStylePr>
    <w:tblStylePr w:type="band1Horz">
      <w:tblPr/>
      <w:tcPr>
        <w:tcBorders>
          <w:top w:val="nil"/>
          <w:bottom w:val="nil"/>
          <w:insideH w:val="nil"/>
          <w:insideV w:val="nil"/>
        </w:tcBorders>
        <w:shd w:val="clear" w:color="auto" w:fill="D5EEED"/>
      </w:tcPr>
    </w:tblStylePr>
    <w:tblStylePr w:type="nwCell">
      <w:tblPr/>
      <w:tcPr>
        <w:shd w:val="clear" w:color="auto" w:fill="FFFFFF"/>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66"/>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FDB933"/>
        <w:left w:val="single" w:sz="8" w:space="0" w:color="FDB933"/>
        <w:bottom w:val="single" w:sz="8" w:space="0" w:color="FDB933"/>
        <w:right w:val="single" w:sz="8" w:space="0" w:color="FDB933"/>
      </w:tblBorders>
    </w:tblPr>
    <w:tblStylePr w:type="firstRow">
      <w:rPr>
        <w:sz w:val="24"/>
        <w:szCs w:val="24"/>
      </w:rPr>
      <w:tblPr/>
      <w:tcPr>
        <w:tcBorders>
          <w:top w:val="nil"/>
          <w:left w:val="nil"/>
          <w:bottom w:val="single" w:sz="24" w:space="0" w:color="FDB933"/>
          <w:right w:val="nil"/>
          <w:insideH w:val="nil"/>
          <w:insideV w:val="nil"/>
        </w:tcBorders>
        <w:shd w:val="clear" w:color="auto" w:fill="FFFFFF"/>
      </w:tcPr>
    </w:tblStylePr>
    <w:tblStylePr w:type="lastRow">
      <w:tblPr/>
      <w:tcPr>
        <w:tcBorders>
          <w:top w:val="single" w:sz="8" w:space="0" w:color="FDB933"/>
          <w:left w:val="nil"/>
          <w:bottom w:val="nil"/>
          <w:right w:val="nil"/>
          <w:insideH w:val="nil"/>
          <w:insideV w:val="nil"/>
        </w:tcBorders>
        <w:shd w:val="clear" w:color="auto" w:fill="FFFFFF"/>
      </w:tcPr>
    </w:tblStylePr>
    <w:tblStylePr w:type="firstCol">
      <w:tblPr/>
      <w:tcPr>
        <w:tcBorders>
          <w:top w:val="nil"/>
          <w:left w:val="nil"/>
          <w:bottom w:val="nil"/>
          <w:right w:val="single" w:sz="8" w:space="0" w:color="FDB933"/>
          <w:insideH w:val="nil"/>
          <w:insideV w:val="nil"/>
        </w:tcBorders>
        <w:shd w:val="clear" w:color="auto" w:fill="FFFFFF"/>
      </w:tcPr>
    </w:tblStylePr>
    <w:tblStylePr w:type="lastCol">
      <w:tblPr/>
      <w:tcPr>
        <w:tcBorders>
          <w:top w:val="nil"/>
          <w:left w:val="single" w:sz="8" w:space="0" w:color="FDB93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EEDCC"/>
      </w:tcPr>
    </w:tblStylePr>
    <w:tblStylePr w:type="band1Horz">
      <w:tblPr/>
      <w:tcPr>
        <w:tcBorders>
          <w:top w:val="nil"/>
          <w:bottom w:val="nil"/>
          <w:insideH w:val="nil"/>
          <w:insideV w:val="nil"/>
        </w:tcBorders>
        <w:shd w:val="clear" w:color="auto" w:fill="FEEDCC"/>
      </w:tcPr>
    </w:tblStylePr>
    <w:tblStylePr w:type="nwCell">
      <w:tblPr/>
      <w:tcPr>
        <w:shd w:val="clear" w:color="auto" w:fill="FFFFFF"/>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66"/>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6CAD6C"/>
        <w:left w:val="single" w:sz="8" w:space="0" w:color="6CAD6C"/>
        <w:bottom w:val="single" w:sz="8" w:space="0" w:color="6CAD6C"/>
        <w:right w:val="single" w:sz="8" w:space="0" w:color="6CAD6C"/>
      </w:tblBorders>
    </w:tblPr>
    <w:tblStylePr w:type="firstRow">
      <w:rPr>
        <w:sz w:val="24"/>
        <w:szCs w:val="24"/>
      </w:rPr>
      <w:tblPr/>
      <w:tcPr>
        <w:tcBorders>
          <w:top w:val="nil"/>
          <w:left w:val="nil"/>
          <w:bottom w:val="single" w:sz="24" w:space="0" w:color="6CAD6C"/>
          <w:right w:val="nil"/>
          <w:insideH w:val="nil"/>
          <w:insideV w:val="nil"/>
        </w:tcBorders>
        <w:shd w:val="clear" w:color="auto" w:fill="FFFFFF"/>
      </w:tcPr>
    </w:tblStylePr>
    <w:tblStylePr w:type="lastRow">
      <w:tblPr/>
      <w:tcPr>
        <w:tcBorders>
          <w:top w:val="single" w:sz="8" w:space="0" w:color="6CAD6C"/>
          <w:left w:val="nil"/>
          <w:bottom w:val="nil"/>
          <w:right w:val="nil"/>
          <w:insideH w:val="nil"/>
          <w:insideV w:val="nil"/>
        </w:tcBorders>
        <w:shd w:val="clear" w:color="auto" w:fill="FFFFFF"/>
      </w:tcPr>
    </w:tblStylePr>
    <w:tblStylePr w:type="firstCol">
      <w:tblPr/>
      <w:tcPr>
        <w:tcBorders>
          <w:top w:val="nil"/>
          <w:left w:val="nil"/>
          <w:bottom w:val="nil"/>
          <w:right w:val="single" w:sz="8" w:space="0" w:color="6CAD6C"/>
          <w:insideH w:val="nil"/>
          <w:insideV w:val="nil"/>
        </w:tcBorders>
        <w:shd w:val="clear" w:color="auto" w:fill="FFFFFF"/>
      </w:tcPr>
    </w:tblStylePr>
    <w:tblStylePr w:type="lastCol">
      <w:tblPr/>
      <w:tcPr>
        <w:tcBorders>
          <w:top w:val="nil"/>
          <w:left w:val="single" w:sz="8" w:space="0" w:color="6CAD6C"/>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AEADA"/>
      </w:tcPr>
    </w:tblStylePr>
    <w:tblStylePr w:type="band1Horz">
      <w:tblPr/>
      <w:tcPr>
        <w:tcBorders>
          <w:top w:val="nil"/>
          <w:bottom w:val="nil"/>
          <w:insideH w:val="nil"/>
          <w:insideV w:val="nil"/>
        </w:tcBorders>
        <w:shd w:val="clear" w:color="auto" w:fill="DAEADA"/>
      </w:tcPr>
    </w:tblStylePr>
    <w:tblStylePr w:type="nwCell">
      <w:tblPr/>
      <w:tcPr>
        <w:shd w:val="clear" w:color="auto" w:fill="FFFFFF"/>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66"/>
    <w:semiHidden/>
    <w:unhideWhenUsed/>
    <w:rsid w:val="0057062A"/>
    <w:pPr>
      <w:spacing w:after="0" w:line="240" w:lineRule="auto"/>
    </w:pPr>
    <w:rPr>
      <w:rFonts w:ascii="Calibri Light" w:eastAsia="Yu Gothic Light" w:hAnsi="Calibri Light" w:cs="Tunga"/>
      <w:color w:val="000000"/>
    </w:rPr>
    <w:tblPr>
      <w:tblStyleRowBandSize w:val="1"/>
      <w:tblStyleColBandSize w:val="1"/>
      <w:tblBorders>
        <w:top w:val="single" w:sz="8" w:space="0" w:color="BD2644"/>
        <w:left w:val="single" w:sz="8" w:space="0" w:color="BD2644"/>
        <w:bottom w:val="single" w:sz="8" w:space="0" w:color="BD2644"/>
        <w:right w:val="single" w:sz="8" w:space="0" w:color="BD2644"/>
      </w:tblBorders>
    </w:tblPr>
    <w:tblStylePr w:type="firstRow">
      <w:rPr>
        <w:sz w:val="24"/>
        <w:szCs w:val="24"/>
      </w:rPr>
      <w:tblPr/>
      <w:tcPr>
        <w:tcBorders>
          <w:top w:val="nil"/>
          <w:left w:val="nil"/>
          <w:bottom w:val="single" w:sz="24" w:space="0" w:color="BD2644"/>
          <w:right w:val="nil"/>
          <w:insideH w:val="nil"/>
          <w:insideV w:val="nil"/>
        </w:tcBorders>
        <w:shd w:val="clear" w:color="auto" w:fill="FFFFFF"/>
      </w:tcPr>
    </w:tblStylePr>
    <w:tblStylePr w:type="lastRow">
      <w:tblPr/>
      <w:tcPr>
        <w:tcBorders>
          <w:top w:val="single" w:sz="8" w:space="0" w:color="BD2644"/>
          <w:left w:val="nil"/>
          <w:bottom w:val="nil"/>
          <w:right w:val="nil"/>
          <w:insideH w:val="nil"/>
          <w:insideV w:val="nil"/>
        </w:tcBorders>
        <w:shd w:val="clear" w:color="auto" w:fill="FFFFFF"/>
      </w:tcPr>
    </w:tblStylePr>
    <w:tblStylePr w:type="firstCol">
      <w:tblPr/>
      <w:tcPr>
        <w:tcBorders>
          <w:top w:val="nil"/>
          <w:left w:val="nil"/>
          <w:bottom w:val="nil"/>
          <w:right w:val="single" w:sz="8" w:space="0" w:color="BD2644"/>
          <w:insideH w:val="nil"/>
          <w:insideV w:val="nil"/>
        </w:tcBorders>
        <w:shd w:val="clear" w:color="auto" w:fill="FFFFFF"/>
      </w:tcPr>
    </w:tblStylePr>
    <w:tblStylePr w:type="lastCol">
      <w:tblPr/>
      <w:tcPr>
        <w:tcBorders>
          <w:top w:val="nil"/>
          <w:left w:val="single" w:sz="8" w:space="0" w:color="BD264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3C4CD"/>
      </w:tcPr>
    </w:tblStylePr>
    <w:tblStylePr w:type="band1Horz">
      <w:tblPr/>
      <w:tcPr>
        <w:tcBorders>
          <w:top w:val="nil"/>
          <w:bottom w:val="nil"/>
          <w:insideH w:val="nil"/>
          <w:insideV w:val="nil"/>
        </w:tcBorders>
        <w:shd w:val="clear" w:color="auto" w:fill="F3C4CD"/>
      </w:tcPr>
    </w:tblStylePr>
    <w:tblStylePr w:type="nwCell">
      <w:tblPr/>
      <w:tcPr>
        <w:shd w:val="clear" w:color="auto" w:fill="FFFFFF"/>
      </w:tcPr>
    </w:tblStylePr>
    <w:tblStylePr w:type="swCell">
      <w:tblPr/>
      <w:tcPr>
        <w:tcBorders>
          <w:top w:val="nil"/>
        </w:tcBorders>
      </w:tcPr>
    </w:tblStylePr>
  </w:style>
  <w:style w:type="table" w:customStyle="1" w:styleId="MediumShading12">
    <w:name w:val="Medium Shading 12"/>
    <w:basedOn w:val="TableNormal"/>
    <w:next w:val="MediumShading1"/>
    <w:uiPriority w:val="63"/>
    <w:semiHidden/>
    <w:unhideWhenUsed/>
    <w:rsid w:val="0057062A"/>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63"/>
    <w:semiHidden/>
    <w:unhideWhenUsed/>
    <w:rsid w:val="0057062A"/>
    <w:pPr>
      <w:spacing w:after="0" w:line="240" w:lineRule="auto"/>
    </w:pPr>
    <w:tblPr>
      <w:tblStyleRowBandSize w:val="1"/>
      <w:tblStyleColBandSize w:val="1"/>
      <w:tblBorders>
        <w:top w:val="single" w:sz="8" w:space="0" w:color="03E0D4"/>
        <w:left w:val="single" w:sz="8" w:space="0" w:color="03E0D4"/>
        <w:bottom w:val="single" w:sz="8" w:space="0" w:color="03E0D4"/>
        <w:right w:val="single" w:sz="8" w:space="0" w:color="03E0D4"/>
        <w:insideH w:val="single" w:sz="8" w:space="0" w:color="03E0D4"/>
      </w:tblBorders>
    </w:tblPr>
    <w:tblStylePr w:type="firstRow">
      <w:pPr>
        <w:spacing w:before="0" w:after="0" w:line="240" w:lineRule="auto"/>
      </w:pPr>
      <w:rPr>
        <w:b/>
        <w:bCs/>
        <w:color w:val="FFFFFF"/>
      </w:rPr>
      <w:tblPr/>
      <w:tcPr>
        <w:tcBorders>
          <w:top w:val="single" w:sz="8" w:space="0" w:color="03E0D4"/>
          <w:left w:val="single" w:sz="8" w:space="0" w:color="03E0D4"/>
          <w:bottom w:val="single" w:sz="8" w:space="0" w:color="03E0D4"/>
          <w:right w:val="single" w:sz="8" w:space="0" w:color="03E0D4"/>
          <w:insideH w:val="nil"/>
          <w:insideV w:val="nil"/>
        </w:tcBorders>
        <w:shd w:val="clear" w:color="auto" w:fill="02847D"/>
      </w:tcPr>
    </w:tblStylePr>
    <w:tblStylePr w:type="lastRow">
      <w:pPr>
        <w:spacing w:before="0" w:after="0" w:line="240" w:lineRule="auto"/>
      </w:pPr>
      <w:rPr>
        <w:b/>
        <w:bCs/>
      </w:rPr>
      <w:tblPr/>
      <w:tcPr>
        <w:tcBorders>
          <w:top w:val="double" w:sz="6" w:space="0" w:color="03E0D4"/>
          <w:left w:val="single" w:sz="8" w:space="0" w:color="03E0D4"/>
          <w:bottom w:val="single" w:sz="8" w:space="0" w:color="03E0D4"/>
          <w:right w:val="single" w:sz="8" w:space="0" w:color="03E0D4"/>
          <w:insideH w:val="nil"/>
          <w:insideV w:val="nil"/>
        </w:tcBorders>
      </w:tcPr>
    </w:tblStylePr>
    <w:tblStylePr w:type="firstCol">
      <w:rPr>
        <w:b/>
        <w:bCs/>
      </w:rPr>
    </w:tblStylePr>
    <w:tblStylePr w:type="lastCol">
      <w:rPr>
        <w:b/>
        <w:bCs/>
      </w:rPr>
    </w:tblStylePr>
    <w:tblStylePr w:type="band1Vert">
      <w:tblPr/>
      <w:tcPr>
        <w:shd w:val="clear" w:color="auto" w:fill="A3FDF8"/>
      </w:tcPr>
    </w:tblStylePr>
    <w:tblStylePr w:type="band1Horz">
      <w:tblPr/>
      <w:tcPr>
        <w:tcBorders>
          <w:insideH w:val="nil"/>
          <w:insideV w:val="nil"/>
        </w:tcBorders>
        <w:shd w:val="clear" w:color="auto" w:fill="A3FDF8"/>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63"/>
    <w:semiHidden/>
    <w:unhideWhenUsed/>
    <w:rsid w:val="0057062A"/>
    <w:pPr>
      <w:spacing w:after="0" w:line="240" w:lineRule="auto"/>
    </w:pPr>
    <w:tblPr>
      <w:tblStyleRowBandSize w:val="1"/>
      <w:tblStyleColBandSize w:val="1"/>
      <w:tblBorders>
        <w:top w:val="single" w:sz="8" w:space="0" w:color="F69272"/>
        <w:left w:val="single" w:sz="8" w:space="0" w:color="F69272"/>
        <w:bottom w:val="single" w:sz="8" w:space="0" w:color="F69272"/>
        <w:right w:val="single" w:sz="8" w:space="0" w:color="F69272"/>
        <w:insideH w:val="single" w:sz="8" w:space="0" w:color="F69272"/>
      </w:tblBorders>
    </w:tblPr>
    <w:tblStylePr w:type="firstRow">
      <w:pPr>
        <w:spacing w:before="0" w:after="0" w:line="240" w:lineRule="auto"/>
      </w:pPr>
      <w:rPr>
        <w:b/>
        <w:bCs/>
        <w:color w:val="FFFFFF"/>
      </w:rPr>
      <w:tblPr/>
      <w:tcPr>
        <w:tcBorders>
          <w:top w:val="single" w:sz="8" w:space="0" w:color="F69272"/>
          <w:left w:val="single" w:sz="8" w:space="0" w:color="F69272"/>
          <w:bottom w:val="single" w:sz="8" w:space="0" w:color="F69272"/>
          <w:right w:val="single" w:sz="8" w:space="0" w:color="F69272"/>
          <w:insideH w:val="nil"/>
          <w:insideV w:val="nil"/>
        </w:tcBorders>
        <w:shd w:val="clear" w:color="auto" w:fill="F36E44"/>
      </w:tcPr>
    </w:tblStylePr>
    <w:tblStylePr w:type="lastRow">
      <w:pPr>
        <w:spacing w:before="0" w:after="0" w:line="240" w:lineRule="auto"/>
      </w:pPr>
      <w:rPr>
        <w:b/>
        <w:bCs/>
      </w:rPr>
      <w:tblPr/>
      <w:tcPr>
        <w:tcBorders>
          <w:top w:val="double" w:sz="6" w:space="0" w:color="F69272"/>
          <w:left w:val="single" w:sz="8" w:space="0" w:color="F69272"/>
          <w:bottom w:val="single" w:sz="8" w:space="0" w:color="F69272"/>
          <w:right w:val="single" w:sz="8" w:space="0" w:color="F69272"/>
          <w:insideH w:val="nil"/>
          <w:insideV w:val="nil"/>
        </w:tcBorders>
      </w:tcPr>
    </w:tblStylePr>
    <w:tblStylePr w:type="firstCol">
      <w:rPr>
        <w:b/>
        <w:bCs/>
      </w:rPr>
    </w:tblStylePr>
    <w:tblStylePr w:type="lastCol">
      <w:rPr>
        <w:b/>
        <w:bCs/>
      </w:rPr>
    </w:tblStylePr>
    <w:tblStylePr w:type="band1Vert">
      <w:tblPr/>
      <w:tcPr>
        <w:shd w:val="clear" w:color="auto" w:fill="FCDAD0"/>
      </w:tcPr>
    </w:tblStylePr>
    <w:tblStylePr w:type="band1Horz">
      <w:tblPr/>
      <w:tcPr>
        <w:tcBorders>
          <w:insideH w:val="nil"/>
          <w:insideV w:val="nil"/>
        </w:tcBorders>
        <w:shd w:val="clear" w:color="auto" w:fill="FCDAD0"/>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63"/>
    <w:semiHidden/>
    <w:unhideWhenUsed/>
    <w:rsid w:val="0057062A"/>
    <w:pPr>
      <w:spacing w:after="0" w:line="240" w:lineRule="auto"/>
    </w:pPr>
    <w:tblPr>
      <w:tblStyleRowBandSize w:val="1"/>
      <w:tblStyleColBandSize w:val="1"/>
      <w:tblBorders>
        <w:top w:val="single" w:sz="8" w:space="0" w:color="82CDC9"/>
        <w:left w:val="single" w:sz="8" w:space="0" w:color="82CDC9"/>
        <w:bottom w:val="single" w:sz="8" w:space="0" w:color="82CDC9"/>
        <w:right w:val="single" w:sz="8" w:space="0" w:color="82CDC9"/>
        <w:insideH w:val="single" w:sz="8" w:space="0" w:color="82CDC9"/>
      </w:tblBorders>
    </w:tblPr>
    <w:tblStylePr w:type="firstRow">
      <w:pPr>
        <w:spacing w:before="0" w:after="0" w:line="240" w:lineRule="auto"/>
      </w:pPr>
      <w:rPr>
        <w:b/>
        <w:bCs/>
        <w:color w:val="FFFFFF"/>
      </w:rPr>
      <w:tblPr/>
      <w:tcPr>
        <w:tcBorders>
          <w:top w:val="single" w:sz="8" w:space="0" w:color="82CDC9"/>
          <w:left w:val="single" w:sz="8" w:space="0" w:color="82CDC9"/>
          <w:bottom w:val="single" w:sz="8" w:space="0" w:color="82CDC9"/>
          <w:right w:val="single" w:sz="8" w:space="0" w:color="82CDC9"/>
          <w:insideH w:val="nil"/>
          <w:insideV w:val="nil"/>
        </w:tcBorders>
        <w:shd w:val="clear" w:color="auto" w:fill="59BDB8"/>
      </w:tcPr>
    </w:tblStylePr>
    <w:tblStylePr w:type="lastRow">
      <w:pPr>
        <w:spacing w:before="0" w:after="0" w:line="240" w:lineRule="auto"/>
      </w:pPr>
      <w:rPr>
        <w:b/>
        <w:bCs/>
      </w:rPr>
      <w:tblPr/>
      <w:tcPr>
        <w:tcBorders>
          <w:top w:val="double" w:sz="6" w:space="0" w:color="82CDC9"/>
          <w:left w:val="single" w:sz="8" w:space="0" w:color="82CDC9"/>
          <w:bottom w:val="single" w:sz="8" w:space="0" w:color="82CDC9"/>
          <w:right w:val="single" w:sz="8" w:space="0" w:color="82CDC9"/>
          <w:insideH w:val="nil"/>
          <w:insideV w:val="nil"/>
        </w:tcBorders>
      </w:tcPr>
    </w:tblStylePr>
    <w:tblStylePr w:type="firstCol">
      <w:rPr>
        <w:b/>
        <w:bCs/>
      </w:rPr>
    </w:tblStylePr>
    <w:tblStylePr w:type="lastCol">
      <w:rPr>
        <w:b/>
        <w:bCs/>
      </w:rPr>
    </w:tblStylePr>
    <w:tblStylePr w:type="band1Vert">
      <w:tblPr/>
      <w:tcPr>
        <w:shd w:val="clear" w:color="auto" w:fill="D5EEED"/>
      </w:tcPr>
    </w:tblStylePr>
    <w:tblStylePr w:type="band1Horz">
      <w:tblPr/>
      <w:tcPr>
        <w:tcBorders>
          <w:insideH w:val="nil"/>
          <w:insideV w:val="nil"/>
        </w:tcBorders>
        <w:shd w:val="clear" w:color="auto" w:fill="D5EEED"/>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63"/>
    <w:semiHidden/>
    <w:unhideWhenUsed/>
    <w:rsid w:val="0057062A"/>
    <w:pPr>
      <w:spacing w:after="0" w:line="240" w:lineRule="auto"/>
    </w:pPr>
    <w:tblPr>
      <w:tblStyleRowBandSize w:val="1"/>
      <w:tblStyleColBandSize w:val="1"/>
      <w:tblBorders>
        <w:top w:val="single" w:sz="8" w:space="0" w:color="FDCA66"/>
        <w:left w:val="single" w:sz="8" w:space="0" w:color="FDCA66"/>
        <w:bottom w:val="single" w:sz="8" w:space="0" w:color="FDCA66"/>
        <w:right w:val="single" w:sz="8" w:space="0" w:color="FDCA66"/>
        <w:insideH w:val="single" w:sz="8" w:space="0" w:color="FDCA66"/>
      </w:tblBorders>
    </w:tblPr>
    <w:tblStylePr w:type="firstRow">
      <w:pPr>
        <w:spacing w:before="0" w:after="0" w:line="240" w:lineRule="auto"/>
      </w:pPr>
      <w:rPr>
        <w:b/>
        <w:bCs/>
        <w:color w:val="FFFFFF"/>
      </w:rPr>
      <w:tblPr/>
      <w:tcPr>
        <w:tcBorders>
          <w:top w:val="single" w:sz="8" w:space="0" w:color="FDCA66"/>
          <w:left w:val="single" w:sz="8" w:space="0" w:color="FDCA66"/>
          <w:bottom w:val="single" w:sz="8" w:space="0" w:color="FDCA66"/>
          <w:right w:val="single" w:sz="8" w:space="0" w:color="FDCA66"/>
          <w:insideH w:val="nil"/>
          <w:insideV w:val="nil"/>
        </w:tcBorders>
        <w:shd w:val="clear" w:color="auto" w:fill="FDB933"/>
      </w:tcPr>
    </w:tblStylePr>
    <w:tblStylePr w:type="lastRow">
      <w:pPr>
        <w:spacing w:before="0" w:after="0" w:line="240" w:lineRule="auto"/>
      </w:pPr>
      <w:rPr>
        <w:b/>
        <w:bCs/>
      </w:rPr>
      <w:tblPr/>
      <w:tcPr>
        <w:tcBorders>
          <w:top w:val="double" w:sz="6" w:space="0" w:color="FDCA66"/>
          <w:left w:val="single" w:sz="8" w:space="0" w:color="FDCA66"/>
          <w:bottom w:val="single" w:sz="8" w:space="0" w:color="FDCA66"/>
          <w:right w:val="single" w:sz="8" w:space="0" w:color="FDCA66"/>
          <w:insideH w:val="nil"/>
          <w:insideV w:val="nil"/>
        </w:tcBorders>
      </w:tcPr>
    </w:tblStylePr>
    <w:tblStylePr w:type="firstCol">
      <w:rPr>
        <w:b/>
        <w:bCs/>
      </w:rPr>
    </w:tblStylePr>
    <w:tblStylePr w:type="lastCol">
      <w:rPr>
        <w:b/>
        <w:bCs/>
      </w:rPr>
    </w:tblStylePr>
    <w:tblStylePr w:type="band1Vert">
      <w:tblPr/>
      <w:tcPr>
        <w:shd w:val="clear" w:color="auto" w:fill="FEEDCC"/>
      </w:tcPr>
    </w:tblStylePr>
    <w:tblStylePr w:type="band1Horz">
      <w:tblPr/>
      <w:tcPr>
        <w:tcBorders>
          <w:insideH w:val="nil"/>
          <w:insideV w:val="nil"/>
        </w:tcBorders>
        <w:shd w:val="clear" w:color="auto" w:fill="FEEDCC"/>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semiHidden/>
    <w:unhideWhenUsed/>
    <w:rsid w:val="0057062A"/>
    <w:pPr>
      <w:spacing w:after="0" w:line="240" w:lineRule="auto"/>
    </w:pPr>
    <w:tblPr>
      <w:tblStyleRowBandSize w:val="1"/>
      <w:tblStyleColBandSize w:val="1"/>
      <w:tblBorders>
        <w:top w:val="single" w:sz="8" w:space="0" w:color="90C190"/>
        <w:left w:val="single" w:sz="8" w:space="0" w:color="90C190"/>
        <w:bottom w:val="single" w:sz="8" w:space="0" w:color="90C190"/>
        <w:right w:val="single" w:sz="8" w:space="0" w:color="90C190"/>
        <w:insideH w:val="single" w:sz="8" w:space="0" w:color="90C190"/>
      </w:tblBorders>
    </w:tblPr>
    <w:tblStylePr w:type="firstRow">
      <w:pPr>
        <w:spacing w:before="0" w:after="0" w:line="240" w:lineRule="auto"/>
      </w:pPr>
      <w:rPr>
        <w:b/>
        <w:bCs/>
        <w:color w:val="FFFFFF"/>
      </w:rPr>
      <w:tblPr/>
      <w:tcPr>
        <w:tcBorders>
          <w:top w:val="single" w:sz="8" w:space="0" w:color="90C190"/>
          <w:left w:val="single" w:sz="8" w:space="0" w:color="90C190"/>
          <w:bottom w:val="single" w:sz="8" w:space="0" w:color="90C190"/>
          <w:right w:val="single" w:sz="8" w:space="0" w:color="90C190"/>
          <w:insideH w:val="nil"/>
          <w:insideV w:val="nil"/>
        </w:tcBorders>
        <w:shd w:val="clear" w:color="auto" w:fill="6CAD6C"/>
      </w:tcPr>
    </w:tblStylePr>
    <w:tblStylePr w:type="lastRow">
      <w:pPr>
        <w:spacing w:before="0" w:after="0" w:line="240" w:lineRule="auto"/>
      </w:pPr>
      <w:rPr>
        <w:b/>
        <w:bCs/>
      </w:rPr>
      <w:tblPr/>
      <w:tcPr>
        <w:tcBorders>
          <w:top w:val="double" w:sz="6" w:space="0" w:color="90C190"/>
          <w:left w:val="single" w:sz="8" w:space="0" w:color="90C190"/>
          <w:bottom w:val="single" w:sz="8" w:space="0" w:color="90C190"/>
          <w:right w:val="single" w:sz="8" w:space="0" w:color="90C190"/>
          <w:insideH w:val="nil"/>
          <w:insideV w:val="nil"/>
        </w:tcBorders>
      </w:tcPr>
    </w:tblStylePr>
    <w:tblStylePr w:type="firstCol">
      <w:rPr>
        <w:b/>
        <w:bCs/>
      </w:rPr>
    </w:tblStylePr>
    <w:tblStylePr w:type="lastCol">
      <w:rPr>
        <w:b/>
        <w:bCs/>
      </w:rPr>
    </w:tblStylePr>
    <w:tblStylePr w:type="band1Vert">
      <w:tblPr/>
      <w:tcPr>
        <w:shd w:val="clear" w:color="auto" w:fill="DAEADA"/>
      </w:tcPr>
    </w:tblStylePr>
    <w:tblStylePr w:type="band1Horz">
      <w:tblPr/>
      <w:tcPr>
        <w:tcBorders>
          <w:insideH w:val="nil"/>
          <w:insideV w:val="nil"/>
        </w:tcBorders>
        <w:shd w:val="clear" w:color="auto" w:fill="DAEADA"/>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63"/>
    <w:semiHidden/>
    <w:unhideWhenUsed/>
    <w:rsid w:val="0057062A"/>
    <w:pPr>
      <w:spacing w:after="0" w:line="240" w:lineRule="auto"/>
    </w:pPr>
    <w:tblPr>
      <w:tblStyleRowBandSize w:val="1"/>
      <w:tblStyleColBandSize w:val="1"/>
      <w:tblBorders>
        <w:top w:val="single" w:sz="8" w:space="0" w:color="DB4E6A"/>
        <w:left w:val="single" w:sz="8" w:space="0" w:color="DB4E6A"/>
        <w:bottom w:val="single" w:sz="8" w:space="0" w:color="DB4E6A"/>
        <w:right w:val="single" w:sz="8" w:space="0" w:color="DB4E6A"/>
        <w:insideH w:val="single" w:sz="8" w:space="0" w:color="DB4E6A"/>
      </w:tblBorders>
    </w:tblPr>
    <w:tblStylePr w:type="firstRow">
      <w:pPr>
        <w:spacing w:before="0" w:after="0" w:line="240" w:lineRule="auto"/>
      </w:pPr>
      <w:rPr>
        <w:b/>
        <w:bCs/>
        <w:color w:val="FFFFFF"/>
      </w:rPr>
      <w:tblPr/>
      <w:tcPr>
        <w:tcBorders>
          <w:top w:val="single" w:sz="8" w:space="0" w:color="DB4E6A"/>
          <w:left w:val="single" w:sz="8" w:space="0" w:color="DB4E6A"/>
          <w:bottom w:val="single" w:sz="8" w:space="0" w:color="DB4E6A"/>
          <w:right w:val="single" w:sz="8" w:space="0" w:color="DB4E6A"/>
          <w:insideH w:val="nil"/>
          <w:insideV w:val="nil"/>
        </w:tcBorders>
        <w:shd w:val="clear" w:color="auto" w:fill="BD2644"/>
      </w:tcPr>
    </w:tblStylePr>
    <w:tblStylePr w:type="lastRow">
      <w:pPr>
        <w:spacing w:before="0" w:after="0" w:line="240" w:lineRule="auto"/>
      </w:pPr>
      <w:rPr>
        <w:b/>
        <w:bCs/>
      </w:rPr>
      <w:tblPr/>
      <w:tcPr>
        <w:tcBorders>
          <w:top w:val="double" w:sz="6" w:space="0" w:color="DB4E6A"/>
          <w:left w:val="single" w:sz="8" w:space="0" w:color="DB4E6A"/>
          <w:bottom w:val="single" w:sz="8" w:space="0" w:color="DB4E6A"/>
          <w:right w:val="single" w:sz="8" w:space="0" w:color="DB4E6A"/>
          <w:insideH w:val="nil"/>
          <w:insideV w:val="nil"/>
        </w:tcBorders>
      </w:tcPr>
    </w:tblStylePr>
    <w:tblStylePr w:type="firstCol">
      <w:rPr>
        <w:b/>
        <w:bCs/>
      </w:rPr>
    </w:tblStylePr>
    <w:tblStylePr w:type="lastCol">
      <w:rPr>
        <w:b/>
        <w:bCs/>
      </w:rPr>
    </w:tblStylePr>
    <w:tblStylePr w:type="band1Vert">
      <w:tblPr/>
      <w:tcPr>
        <w:shd w:val="clear" w:color="auto" w:fill="F3C4CD"/>
      </w:tcPr>
    </w:tblStylePr>
    <w:tblStylePr w:type="band1Horz">
      <w:tblPr/>
      <w:tcPr>
        <w:tcBorders>
          <w:insideH w:val="nil"/>
          <w:insideV w:val="nil"/>
        </w:tcBorders>
        <w:shd w:val="clear" w:color="auto" w:fill="F3C4CD"/>
      </w:tcPr>
    </w:tblStylePr>
    <w:tblStylePr w:type="band2Horz">
      <w:tblPr/>
      <w:tcPr>
        <w:tcBorders>
          <w:insideH w:val="nil"/>
          <w:insideV w:val="nil"/>
        </w:tcBorders>
      </w:tcPr>
    </w:tblStylePr>
  </w:style>
  <w:style w:type="table" w:customStyle="1" w:styleId="MediumShading22">
    <w:name w:val="Medium Shading 22"/>
    <w:basedOn w:val="TableNormal"/>
    <w:next w:val="MediumShading2"/>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2847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2847D"/>
      </w:tcPr>
    </w:tblStylePr>
    <w:tblStylePr w:type="lastCol">
      <w:rPr>
        <w:b/>
        <w:bCs/>
        <w:color w:val="FFFFFF"/>
      </w:rPr>
      <w:tblPr/>
      <w:tcPr>
        <w:tcBorders>
          <w:left w:val="nil"/>
          <w:right w:val="nil"/>
          <w:insideH w:val="nil"/>
          <w:insideV w:val="nil"/>
        </w:tcBorders>
        <w:shd w:val="clear" w:color="auto" w:fill="02847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36E4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36E44"/>
      </w:tcPr>
    </w:tblStylePr>
    <w:tblStylePr w:type="lastCol">
      <w:rPr>
        <w:b/>
        <w:bCs/>
        <w:color w:val="FFFFFF"/>
      </w:rPr>
      <w:tblPr/>
      <w:tcPr>
        <w:tcBorders>
          <w:left w:val="nil"/>
          <w:right w:val="nil"/>
          <w:insideH w:val="nil"/>
          <w:insideV w:val="nil"/>
        </w:tcBorders>
        <w:shd w:val="clear" w:color="auto" w:fill="F36E4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9BDB8"/>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59BDB8"/>
      </w:tcPr>
    </w:tblStylePr>
    <w:tblStylePr w:type="lastCol">
      <w:rPr>
        <w:b/>
        <w:bCs/>
        <w:color w:val="FFFFFF"/>
      </w:rPr>
      <w:tblPr/>
      <w:tcPr>
        <w:tcBorders>
          <w:left w:val="nil"/>
          <w:right w:val="nil"/>
          <w:insideH w:val="nil"/>
          <w:insideV w:val="nil"/>
        </w:tcBorders>
        <w:shd w:val="clear" w:color="auto" w:fill="59BDB8"/>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DB93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DB933"/>
      </w:tcPr>
    </w:tblStylePr>
    <w:tblStylePr w:type="lastCol">
      <w:rPr>
        <w:b/>
        <w:bCs/>
        <w:color w:val="FFFFFF"/>
      </w:rPr>
      <w:tblPr/>
      <w:tcPr>
        <w:tcBorders>
          <w:left w:val="nil"/>
          <w:right w:val="nil"/>
          <w:insideH w:val="nil"/>
          <w:insideV w:val="nil"/>
        </w:tcBorders>
        <w:shd w:val="clear" w:color="auto" w:fill="FDB93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6CAD6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6CAD6C"/>
      </w:tcPr>
    </w:tblStylePr>
    <w:tblStylePr w:type="lastCol">
      <w:rPr>
        <w:b/>
        <w:bCs/>
        <w:color w:val="FFFFFF"/>
      </w:rPr>
      <w:tblPr/>
      <w:tcPr>
        <w:tcBorders>
          <w:left w:val="nil"/>
          <w:right w:val="nil"/>
          <w:insideH w:val="nil"/>
          <w:insideV w:val="nil"/>
        </w:tcBorders>
        <w:shd w:val="clear" w:color="auto" w:fill="6CAD6C"/>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BD264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BD2644"/>
      </w:tcPr>
    </w:tblStylePr>
    <w:tblStylePr w:type="lastCol">
      <w:rPr>
        <w:b/>
        <w:bCs/>
        <w:color w:val="FFFFFF"/>
      </w:rPr>
      <w:tblPr/>
      <w:tcPr>
        <w:tcBorders>
          <w:left w:val="nil"/>
          <w:right w:val="nil"/>
          <w:insideH w:val="nil"/>
          <w:insideV w:val="nil"/>
        </w:tcBorders>
        <w:shd w:val="clear" w:color="auto" w:fill="BD264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12">
    <w:name w:val="Plain Table 12"/>
    <w:basedOn w:val="TableNormal"/>
    <w:next w:val="PlainTable1"/>
    <w:uiPriority w:val="41"/>
    <w:rsid w:val="0057062A"/>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2">
    <w:name w:val="Plain Table 22"/>
    <w:basedOn w:val="TableNormal"/>
    <w:next w:val="PlainTable2"/>
    <w:uiPriority w:val="42"/>
    <w:rsid w:val="0057062A"/>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2">
    <w:name w:val="Plain Table 32"/>
    <w:basedOn w:val="TableNormal"/>
    <w:next w:val="PlainTable3"/>
    <w:uiPriority w:val="43"/>
    <w:rsid w:val="0057062A"/>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rsid w:val="005706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2">
    <w:name w:val="Plain Table 52"/>
    <w:basedOn w:val="TableNormal"/>
    <w:next w:val="PlainTable5"/>
    <w:uiPriority w:val="45"/>
    <w:rsid w:val="0057062A"/>
    <w:pPr>
      <w:spacing w:after="0" w:line="240" w:lineRule="auto"/>
    </w:pPr>
    <w:tblPr>
      <w:tblStyleRowBandSize w:val="1"/>
      <w:tblStyleColBandSize w:val="1"/>
    </w:tblPr>
    <w:tblStylePr w:type="firstRow">
      <w:rPr>
        <w:rFonts w:ascii="Calibri Light" w:eastAsia="Arial Narrow" w:hAnsi="Calibri Light" w:cs="Tunga"/>
        <w:i/>
        <w:iCs/>
        <w:sz w:val="26"/>
      </w:rPr>
      <w:tblPr/>
      <w:tcPr>
        <w:tcBorders>
          <w:bottom w:val="single" w:sz="4" w:space="0" w:color="7F7F7F"/>
        </w:tcBorders>
        <w:shd w:val="clear" w:color="auto" w:fill="FFFFFF"/>
      </w:tcPr>
    </w:tblStylePr>
    <w:tblStylePr w:type="lastRow">
      <w:rPr>
        <w:rFonts w:ascii="Calibri Light" w:eastAsia="Arial Narrow" w:hAnsi="Calibri Light" w:cs="Tunga"/>
        <w:i/>
        <w:iCs/>
        <w:sz w:val="26"/>
      </w:rPr>
      <w:tblPr/>
      <w:tcPr>
        <w:tcBorders>
          <w:top w:val="single" w:sz="4" w:space="0" w:color="7F7F7F"/>
        </w:tcBorders>
        <w:shd w:val="clear" w:color="auto" w:fill="FFFFFF"/>
      </w:tcPr>
    </w:tblStylePr>
    <w:tblStylePr w:type="firstCol">
      <w:pPr>
        <w:jc w:val="right"/>
      </w:pPr>
      <w:rPr>
        <w:rFonts w:ascii="Calibri Light" w:eastAsia="Arial Narrow" w:hAnsi="Calibri Light" w:cs="Tunga"/>
        <w:i/>
        <w:iCs/>
        <w:sz w:val="26"/>
      </w:rPr>
      <w:tblPr/>
      <w:tcPr>
        <w:tcBorders>
          <w:right w:val="single" w:sz="4" w:space="0" w:color="7F7F7F"/>
        </w:tcBorders>
        <w:shd w:val="clear" w:color="auto" w:fill="FFFFFF"/>
      </w:tcPr>
    </w:tblStylePr>
    <w:tblStylePr w:type="lastCol">
      <w:rPr>
        <w:rFonts w:ascii="Calibri Light" w:eastAsia="Arial Narrow" w:hAnsi="Calibri Light" w:cs="Tunga"/>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2">
    <w:name w:val="Table Grid Light2"/>
    <w:basedOn w:val="TableNormal"/>
    <w:next w:val="TableGridLight"/>
    <w:uiPriority w:val="40"/>
    <w:rsid w:val="0057062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boldblue">
    <w:name w:val="bold blue"/>
    <w:basedOn w:val="Normal"/>
    <w:qFormat/>
    <w:rsid w:val="00571736"/>
    <w:pPr>
      <w:spacing w:line="264" w:lineRule="auto"/>
      <w:jc w:val="both"/>
    </w:pPr>
    <w:rPr>
      <w:rFonts w:eastAsia="Times New Roman" w:cs="Times New Roman"/>
      <w:b/>
      <w:bCs/>
      <w:noProof/>
      <w:color w:val="003399" w:themeColor="text2"/>
      <w:kern w:val="0"/>
      <w:szCs w:val="20"/>
      <w:lang w:val="en-GB" w:eastAsia="en-GB"/>
      <w14:ligatures w14:val="none"/>
    </w:rPr>
  </w:style>
  <w:style w:type="paragraph" w:customStyle="1" w:styleId="Boldallcaps">
    <w:name w:val="Bold all caps"/>
    <w:basedOn w:val="Normal"/>
    <w:rsid w:val="0057062A"/>
    <w:pPr>
      <w:spacing w:before="80" w:after="60" w:line="264" w:lineRule="auto"/>
      <w:jc w:val="both"/>
    </w:pPr>
    <w:rPr>
      <w:rFonts w:eastAsia="Times New Roman" w:cs="Times New Roman"/>
      <w:b/>
      <w:bCs/>
      <w:noProof/>
      <w:color w:val="02847D"/>
      <w:kern w:val="0"/>
      <w:szCs w:val="20"/>
      <w:lang w:val="en-GB" w:eastAsia="en-GB"/>
      <w14:ligatures w14:val="none"/>
    </w:rPr>
  </w:style>
  <w:style w:type="paragraph" w:customStyle="1" w:styleId="letterlist">
    <w:name w:val="letter list"/>
    <w:basedOn w:val="Normal"/>
    <w:rsid w:val="0057062A"/>
    <w:pPr>
      <w:numPr>
        <w:ilvl w:val="1"/>
        <w:numId w:val="46"/>
      </w:numPr>
      <w:spacing w:line="240" w:lineRule="auto"/>
      <w:ind w:left="709" w:hanging="425"/>
      <w:jc w:val="both"/>
    </w:pPr>
    <w:rPr>
      <w:rFonts w:eastAsia="Times New Roman" w:cs="Times New Roman"/>
      <w:noProof/>
      <w:kern w:val="0"/>
      <w:szCs w:val="20"/>
      <w:lang w:val="en-GB" w:eastAsia="en-GB"/>
      <w14:ligatures w14:val="none"/>
    </w:rPr>
  </w:style>
  <w:style w:type="paragraph" w:customStyle="1" w:styleId="dashlist">
    <w:name w:val="dash list"/>
    <w:basedOn w:val="Normal"/>
    <w:rsid w:val="0057062A"/>
    <w:pPr>
      <w:numPr>
        <w:numId w:val="47"/>
      </w:numPr>
      <w:spacing w:before="60" w:after="60" w:line="264" w:lineRule="auto"/>
      <w:jc w:val="both"/>
    </w:pPr>
    <w:rPr>
      <w:rFonts w:eastAsia="Times New Roman" w:cs="Times New Roman"/>
      <w:noProof/>
      <w:kern w:val="0"/>
      <w:szCs w:val="24"/>
      <w:lang w:val="en-GB" w:eastAsia="en-GB"/>
      <w14:ligatures w14:val="none"/>
    </w:rPr>
  </w:style>
  <w:style w:type="paragraph" w:customStyle="1" w:styleId="LegalNumPar">
    <w:name w:val="LegalNumPar"/>
    <w:basedOn w:val="Normal"/>
    <w:rsid w:val="0057062A"/>
    <w:pPr>
      <w:numPr>
        <w:numId w:val="50"/>
      </w:numPr>
      <w:tabs>
        <w:tab w:val="num" w:pos="397"/>
      </w:tabs>
      <w:spacing w:line="360" w:lineRule="auto"/>
      <w:ind w:left="794" w:hanging="397"/>
    </w:pPr>
    <w:rPr>
      <w:sz w:val="24"/>
    </w:rPr>
  </w:style>
  <w:style w:type="paragraph" w:customStyle="1" w:styleId="LegalNumPar2">
    <w:name w:val="LegalNumPar2"/>
    <w:basedOn w:val="Normal"/>
    <w:rsid w:val="0057062A"/>
    <w:pPr>
      <w:numPr>
        <w:ilvl w:val="1"/>
        <w:numId w:val="50"/>
      </w:numPr>
      <w:tabs>
        <w:tab w:val="num" w:pos="1191"/>
      </w:tabs>
      <w:spacing w:line="360" w:lineRule="auto"/>
      <w:ind w:left="1587" w:hanging="396"/>
    </w:pPr>
    <w:rPr>
      <w:sz w:val="24"/>
    </w:rPr>
  </w:style>
  <w:style w:type="paragraph" w:customStyle="1" w:styleId="LegalNumPar3">
    <w:name w:val="LegalNumPar3"/>
    <w:basedOn w:val="Normal"/>
    <w:rsid w:val="0057062A"/>
    <w:pPr>
      <w:numPr>
        <w:ilvl w:val="2"/>
        <w:numId w:val="50"/>
      </w:numPr>
      <w:tabs>
        <w:tab w:val="num" w:pos="1984"/>
      </w:tabs>
      <w:spacing w:line="360" w:lineRule="auto"/>
      <w:ind w:left="2381" w:hanging="397"/>
    </w:pPr>
    <w:rPr>
      <w:sz w:val="24"/>
    </w:rPr>
  </w:style>
  <w:style w:type="paragraph" w:styleId="BlockText">
    <w:name w:val="Block Text"/>
    <w:basedOn w:val="Normal"/>
    <w:uiPriority w:val="99"/>
    <w:semiHidden/>
    <w:unhideWhenUsed/>
    <w:rsid w:val="0057062A"/>
    <w:pPr>
      <w:pBdr>
        <w:top w:val="single" w:sz="2" w:space="10" w:color="008139" w:themeColor="accent1"/>
        <w:left w:val="single" w:sz="2" w:space="10" w:color="008139" w:themeColor="accent1"/>
        <w:bottom w:val="single" w:sz="2" w:space="10" w:color="008139" w:themeColor="accent1"/>
        <w:right w:val="single" w:sz="2" w:space="10" w:color="008139" w:themeColor="accent1"/>
      </w:pBdr>
      <w:ind w:left="1152" w:right="1152"/>
    </w:pPr>
    <w:rPr>
      <w:rFonts w:eastAsiaTheme="minorEastAsia"/>
      <w:i/>
      <w:iCs/>
      <w:color w:val="008139" w:themeColor="accent1"/>
    </w:rPr>
  </w:style>
  <w:style w:type="paragraph" w:styleId="EnvelopeAddress">
    <w:name w:val="envelope address"/>
    <w:basedOn w:val="Normal"/>
    <w:uiPriority w:val="99"/>
    <w:semiHidden/>
    <w:unhideWhenUsed/>
    <w:rsid w:val="0057062A"/>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062A"/>
    <w:pPr>
      <w:spacing w:after="0" w:line="240" w:lineRule="auto"/>
    </w:pPr>
    <w:rPr>
      <w:rFonts w:asciiTheme="majorHAnsi" w:eastAsiaTheme="majorEastAsia" w:hAnsiTheme="majorHAnsi" w:cstheme="majorBidi"/>
      <w:szCs w:val="20"/>
    </w:rPr>
  </w:style>
  <w:style w:type="paragraph" w:styleId="IntenseQuote">
    <w:name w:val="Intense Quote"/>
    <w:basedOn w:val="Normal"/>
    <w:next w:val="Normal"/>
    <w:link w:val="IntenseQuoteChar"/>
    <w:uiPriority w:val="39"/>
    <w:qFormat/>
    <w:rsid w:val="0057062A"/>
    <w:pPr>
      <w:pBdr>
        <w:top w:val="single" w:sz="4" w:space="10" w:color="008139" w:themeColor="accent1"/>
        <w:bottom w:val="single" w:sz="4" w:space="10" w:color="008139" w:themeColor="accent1"/>
      </w:pBdr>
      <w:spacing w:before="360" w:after="360"/>
      <w:ind w:left="864" w:right="864"/>
      <w:jc w:val="center"/>
    </w:pPr>
    <w:rPr>
      <w:rFonts w:eastAsia="Times New Roman" w:cs="Times New Roman"/>
      <w:i/>
      <w:iCs/>
      <w:color w:val="7A6DB2"/>
      <w:szCs w:val="20"/>
      <w:lang w:val="en-GB" w:eastAsia="en-GB"/>
    </w:rPr>
  </w:style>
  <w:style w:type="character" w:customStyle="1" w:styleId="IntenseQuoteChar2">
    <w:name w:val="Intense Quote Char2"/>
    <w:basedOn w:val="DefaultParagraphFont"/>
    <w:uiPriority w:val="30"/>
    <w:rsid w:val="0057062A"/>
    <w:rPr>
      <w:i/>
      <w:iCs/>
      <w:color w:val="008139" w:themeColor="accent1"/>
    </w:rPr>
  </w:style>
  <w:style w:type="paragraph" w:styleId="MessageHeader">
    <w:name w:val="Message Header"/>
    <w:basedOn w:val="Normal"/>
    <w:link w:val="MessageHeaderChar2"/>
    <w:uiPriority w:val="99"/>
    <w:semiHidden/>
    <w:unhideWhenUsed/>
    <w:rsid w:val="0057062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2">
    <w:name w:val="Message Header Char2"/>
    <w:basedOn w:val="DefaultParagraphFont"/>
    <w:link w:val="MessageHeader"/>
    <w:uiPriority w:val="99"/>
    <w:semiHidden/>
    <w:rsid w:val="0057062A"/>
    <w:rPr>
      <w:rFonts w:asciiTheme="majorHAnsi" w:eastAsiaTheme="majorEastAsia" w:hAnsiTheme="majorHAnsi" w:cstheme="majorBidi"/>
      <w:sz w:val="24"/>
      <w:szCs w:val="24"/>
      <w:shd w:val="pct20" w:color="auto" w:fill="auto"/>
    </w:rPr>
  </w:style>
  <w:style w:type="table" w:styleId="ColorfulGrid">
    <w:name w:val="Colorful Grid"/>
    <w:basedOn w:val="TableNormal"/>
    <w:uiPriority w:val="73"/>
    <w:semiHidden/>
    <w:unhideWhenUsed/>
    <w:rsid w:val="0057062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062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2FFD4" w:themeFill="accent1" w:themeFillTint="33"/>
    </w:tcPr>
    <w:tblStylePr w:type="firstRow">
      <w:rPr>
        <w:b/>
        <w:bCs/>
      </w:rPr>
      <w:tblPr/>
      <w:tcPr>
        <w:shd w:val="clear" w:color="auto" w:fill="66FFA9" w:themeFill="accent1" w:themeFillTint="66"/>
      </w:tcPr>
    </w:tblStylePr>
    <w:tblStylePr w:type="lastRow">
      <w:rPr>
        <w:b/>
        <w:bCs/>
        <w:color w:val="000000" w:themeColor="text1"/>
      </w:rPr>
      <w:tblPr/>
      <w:tcPr>
        <w:shd w:val="clear" w:color="auto" w:fill="66FFA9" w:themeFill="accent1" w:themeFillTint="66"/>
      </w:tcPr>
    </w:tblStylePr>
    <w:tblStylePr w:type="firstCol">
      <w:rPr>
        <w:color w:val="FFFFFF" w:themeColor="background1"/>
      </w:rPr>
      <w:tblPr/>
      <w:tcPr>
        <w:shd w:val="clear" w:color="auto" w:fill="00602A" w:themeFill="accent1" w:themeFillShade="BF"/>
      </w:tcPr>
    </w:tblStylePr>
    <w:tblStylePr w:type="lastCol">
      <w:rPr>
        <w:color w:val="FFFFFF" w:themeColor="background1"/>
      </w:rPr>
      <w:tblPr/>
      <w:tcPr>
        <w:shd w:val="clear" w:color="auto" w:fill="00602A" w:themeFill="accent1" w:themeFillShade="BF"/>
      </w:tc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ColorfulGrid-Accent2">
    <w:name w:val="Colorful Grid Accent 2"/>
    <w:basedOn w:val="TableNormal"/>
    <w:uiPriority w:val="73"/>
    <w:semiHidden/>
    <w:unhideWhenUsed/>
    <w:rsid w:val="0057062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D3C6" w:themeFill="accent2" w:themeFillTint="33"/>
    </w:tcPr>
    <w:tblStylePr w:type="firstRow">
      <w:rPr>
        <w:b/>
        <w:bCs/>
      </w:rPr>
      <w:tblPr/>
      <w:tcPr>
        <w:shd w:val="clear" w:color="auto" w:fill="FDA98D" w:themeFill="accent2" w:themeFillTint="66"/>
      </w:tcPr>
    </w:tblStylePr>
    <w:tblStylePr w:type="lastRow">
      <w:rPr>
        <w:b/>
        <w:bCs/>
        <w:color w:val="000000" w:themeColor="text1"/>
      </w:rPr>
      <w:tblPr/>
      <w:tcPr>
        <w:shd w:val="clear" w:color="auto" w:fill="FDA98D" w:themeFill="accent2" w:themeFillTint="66"/>
      </w:tcPr>
    </w:tblStylePr>
    <w:tblStylePr w:type="firstCol">
      <w:rPr>
        <w:color w:val="FFFFFF" w:themeColor="background1"/>
      </w:rPr>
      <w:tblPr/>
      <w:tcPr>
        <w:shd w:val="clear" w:color="auto" w:fill="A42A02" w:themeFill="accent2" w:themeFillShade="BF"/>
      </w:tcPr>
    </w:tblStylePr>
    <w:tblStylePr w:type="lastCol">
      <w:rPr>
        <w:color w:val="FFFFFF" w:themeColor="background1"/>
      </w:rPr>
      <w:tblPr/>
      <w:tcPr>
        <w:shd w:val="clear" w:color="auto" w:fill="A42A02" w:themeFill="accent2" w:themeFillShade="BF"/>
      </w:tcPr>
    </w:tblStylePr>
    <w:tblStylePr w:type="band1Vert">
      <w:tblPr/>
      <w:tcPr>
        <w:shd w:val="clear" w:color="auto" w:fill="FD9471" w:themeFill="accent2" w:themeFillTint="7F"/>
      </w:tcPr>
    </w:tblStylePr>
    <w:tblStylePr w:type="band1Horz">
      <w:tblPr/>
      <w:tcPr>
        <w:shd w:val="clear" w:color="auto" w:fill="FD9471" w:themeFill="accent2" w:themeFillTint="7F"/>
      </w:tcPr>
    </w:tblStylePr>
  </w:style>
  <w:style w:type="table" w:styleId="ColorfulGrid-Accent3">
    <w:name w:val="Colorful Grid Accent 3"/>
    <w:basedOn w:val="TableNormal"/>
    <w:uiPriority w:val="73"/>
    <w:semiHidden/>
    <w:unhideWhenUsed/>
    <w:rsid w:val="0057062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E7FE" w:themeFill="accent3" w:themeFillTint="33"/>
    </w:tcPr>
    <w:tblStylePr w:type="firstRow">
      <w:rPr>
        <w:b/>
        <w:bCs/>
      </w:rPr>
      <w:tblPr/>
      <w:tcPr>
        <w:shd w:val="clear" w:color="auto" w:fill="A8CFFE" w:themeFill="accent3" w:themeFillTint="66"/>
      </w:tcPr>
    </w:tblStylePr>
    <w:tblStylePr w:type="lastRow">
      <w:rPr>
        <w:b/>
        <w:bCs/>
        <w:color w:val="000000" w:themeColor="text1"/>
      </w:rPr>
      <w:tblPr/>
      <w:tcPr>
        <w:shd w:val="clear" w:color="auto" w:fill="A8CFFE" w:themeFill="accent3" w:themeFillTint="66"/>
      </w:tcPr>
    </w:tblStylePr>
    <w:tblStylePr w:type="firstCol">
      <w:rPr>
        <w:color w:val="FFFFFF" w:themeColor="background1"/>
      </w:rPr>
      <w:tblPr/>
      <w:tcPr>
        <w:shd w:val="clear" w:color="auto" w:fill="0162D9" w:themeFill="accent3" w:themeFillShade="BF"/>
      </w:tcPr>
    </w:tblStylePr>
    <w:tblStylePr w:type="lastCol">
      <w:rPr>
        <w:color w:val="FFFFFF" w:themeColor="background1"/>
      </w:rPr>
      <w:tblPr/>
      <w:tcPr>
        <w:shd w:val="clear" w:color="auto" w:fill="0162D9" w:themeFill="accent3" w:themeFillShade="BF"/>
      </w:tc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ColorfulGrid-Accent4">
    <w:name w:val="Colorful Grid Accent 4"/>
    <w:basedOn w:val="TableNormal"/>
    <w:uiPriority w:val="73"/>
    <w:semiHidden/>
    <w:unhideWhenUsed/>
    <w:rsid w:val="0057062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EECD" w:themeFill="accent4" w:themeFillTint="33"/>
    </w:tcPr>
    <w:tblStylePr w:type="firstRow">
      <w:rPr>
        <w:b/>
        <w:bCs/>
      </w:rPr>
      <w:tblPr/>
      <w:tcPr>
        <w:shd w:val="clear" w:color="auto" w:fill="FEDD9B" w:themeFill="accent4" w:themeFillTint="66"/>
      </w:tcPr>
    </w:tblStylePr>
    <w:tblStylePr w:type="lastRow">
      <w:rPr>
        <w:b/>
        <w:bCs/>
        <w:color w:val="000000" w:themeColor="text1"/>
      </w:rPr>
      <w:tblPr/>
      <w:tcPr>
        <w:shd w:val="clear" w:color="auto" w:fill="FEDD9B" w:themeFill="accent4" w:themeFillTint="66"/>
      </w:tcPr>
    </w:tblStylePr>
    <w:tblStylePr w:type="firstCol">
      <w:rPr>
        <w:color w:val="FFFFFF" w:themeColor="background1"/>
      </w:rPr>
      <w:tblPr/>
      <w:tcPr>
        <w:shd w:val="clear" w:color="auto" w:fill="C18101" w:themeFill="accent4" w:themeFillShade="BF"/>
      </w:tcPr>
    </w:tblStylePr>
    <w:tblStylePr w:type="lastCol">
      <w:rPr>
        <w:color w:val="FFFFFF" w:themeColor="background1"/>
      </w:rPr>
      <w:tblPr/>
      <w:tcPr>
        <w:shd w:val="clear" w:color="auto" w:fill="C18101" w:themeFill="accent4" w:themeFillShade="BF"/>
      </w:tc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ColorfulGrid-Accent5">
    <w:name w:val="Colorful Grid Accent 5"/>
    <w:basedOn w:val="TableNormal"/>
    <w:uiPriority w:val="73"/>
    <w:semiHidden/>
    <w:unhideWhenUsed/>
    <w:rsid w:val="0057062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CEDD" w:themeFill="accent5" w:themeFillTint="33"/>
    </w:tcPr>
    <w:tblStylePr w:type="firstRow">
      <w:rPr>
        <w:b/>
        <w:bCs/>
      </w:rPr>
      <w:tblPr/>
      <w:tcPr>
        <w:shd w:val="clear" w:color="auto" w:fill="F59DBC" w:themeFill="accent5" w:themeFillTint="66"/>
      </w:tcPr>
    </w:tblStylePr>
    <w:tblStylePr w:type="lastRow">
      <w:rPr>
        <w:b/>
        <w:bCs/>
        <w:color w:val="000000" w:themeColor="text1"/>
      </w:rPr>
      <w:tblPr/>
      <w:tcPr>
        <w:shd w:val="clear" w:color="auto" w:fill="F59DBC" w:themeFill="accent5" w:themeFillTint="66"/>
      </w:tcPr>
    </w:tblStylePr>
    <w:tblStylePr w:type="firstCol">
      <w:rPr>
        <w:color w:val="FFFFFF" w:themeColor="background1"/>
      </w:rPr>
      <w:tblPr/>
      <w:tcPr>
        <w:shd w:val="clear" w:color="auto" w:fill="A41045" w:themeFill="accent5" w:themeFillShade="BF"/>
      </w:tcPr>
    </w:tblStylePr>
    <w:tblStylePr w:type="lastCol">
      <w:rPr>
        <w:color w:val="FFFFFF" w:themeColor="background1"/>
      </w:rPr>
      <w:tblPr/>
      <w:tcPr>
        <w:shd w:val="clear" w:color="auto" w:fill="A41045" w:themeFill="accent5" w:themeFillShade="BF"/>
      </w:tc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ColorfulGrid-Accent6">
    <w:name w:val="Colorful Grid Accent 6"/>
    <w:basedOn w:val="TableNormal"/>
    <w:uiPriority w:val="73"/>
    <w:semiHidden/>
    <w:unhideWhenUsed/>
    <w:rsid w:val="0057062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D0F1" w:themeFill="accent6" w:themeFillTint="33"/>
    </w:tcPr>
    <w:tblStylePr w:type="firstRow">
      <w:rPr>
        <w:b/>
        <w:bCs/>
      </w:rPr>
      <w:tblPr/>
      <w:tcPr>
        <w:shd w:val="clear" w:color="auto" w:fill="C6A1E3" w:themeFill="accent6" w:themeFillTint="66"/>
      </w:tcPr>
    </w:tblStylePr>
    <w:tblStylePr w:type="lastRow">
      <w:rPr>
        <w:b/>
        <w:bCs/>
        <w:color w:val="000000" w:themeColor="text1"/>
      </w:rPr>
      <w:tblPr/>
      <w:tcPr>
        <w:shd w:val="clear" w:color="auto" w:fill="C6A1E3" w:themeFill="accent6" w:themeFillTint="66"/>
      </w:tcPr>
    </w:tblStylePr>
    <w:tblStylePr w:type="firstCol">
      <w:rPr>
        <w:color w:val="FFFFFF" w:themeColor="background1"/>
      </w:rPr>
      <w:tblPr/>
      <w:tcPr>
        <w:shd w:val="clear" w:color="auto" w:fill="532477" w:themeFill="accent6" w:themeFillShade="BF"/>
      </w:tcPr>
    </w:tblStylePr>
    <w:tblStylePr w:type="lastCol">
      <w:rPr>
        <w:color w:val="FFFFFF" w:themeColor="background1"/>
      </w:rPr>
      <w:tblPr/>
      <w:tcPr>
        <w:shd w:val="clear" w:color="auto" w:fill="532477" w:themeFill="accent6" w:themeFillShade="BF"/>
      </w:tc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ColorfulList">
    <w:name w:val="Colorful List"/>
    <w:basedOn w:val="TableNormal"/>
    <w:uiPriority w:val="72"/>
    <w:semiHidden/>
    <w:unhideWhenUsed/>
    <w:rsid w:val="0057062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F2D02" w:themeFill="accent2" w:themeFillShade="CC"/>
      </w:tcPr>
    </w:tblStylePr>
    <w:tblStylePr w:type="lastRow">
      <w:rPr>
        <w:b/>
        <w:bCs/>
        <w:color w:val="AF2D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062A"/>
    <w:pPr>
      <w:spacing w:after="0" w:line="240" w:lineRule="auto"/>
    </w:pPr>
    <w:rPr>
      <w:color w:val="000000" w:themeColor="text1"/>
    </w:rPr>
    <w:tblPr>
      <w:tblStyleRowBandSize w:val="1"/>
      <w:tblStyleColBandSize w:val="1"/>
    </w:tblPr>
    <w:tcPr>
      <w:shd w:val="clear" w:color="auto" w:fill="D9FFE9" w:themeFill="accent1" w:themeFillTint="19"/>
    </w:tcPr>
    <w:tblStylePr w:type="firstRow">
      <w:rPr>
        <w:b/>
        <w:bCs/>
        <w:color w:val="FFFFFF" w:themeColor="background1"/>
      </w:rPr>
      <w:tblPr/>
      <w:tcPr>
        <w:tcBorders>
          <w:bottom w:val="single" w:sz="12" w:space="0" w:color="FFFFFF" w:themeColor="background1"/>
        </w:tcBorders>
        <w:shd w:val="clear" w:color="auto" w:fill="AF2D02" w:themeFill="accent2" w:themeFillShade="CC"/>
      </w:tcPr>
    </w:tblStylePr>
    <w:tblStylePr w:type="lastRow">
      <w:rPr>
        <w:b/>
        <w:bCs/>
        <w:color w:val="AF2D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FCA" w:themeFill="accent1" w:themeFillTint="3F"/>
      </w:tcPr>
    </w:tblStylePr>
    <w:tblStylePr w:type="band1Horz">
      <w:tblPr/>
      <w:tcPr>
        <w:shd w:val="clear" w:color="auto" w:fill="B2FFD4" w:themeFill="accent1" w:themeFillTint="33"/>
      </w:tcPr>
    </w:tblStylePr>
  </w:style>
  <w:style w:type="table" w:styleId="ColorfulList-Accent2">
    <w:name w:val="Colorful List Accent 2"/>
    <w:basedOn w:val="TableNormal"/>
    <w:uiPriority w:val="72"/>
    <w:semiHidden/>
    <w:unhideWhenUsed/>
    <w:rsid w:val="0057062A"/>
    <w:pPr>
      <w:spacing w:after="0" w:line="240" w:lineRule="auto"/>
    </w:pPr>
    <w:rPr>
      <w:color w:val="000000" w:themeColor="text1"/>
    </w:rPr>
    <w:tblPr>
      <w:tblStyleRowBandSize w:val="1"/>
      <w:tblStyleColBandSize w:val="1"/>
    </w:tblPr>
    <w:tcPr>
      <w:shd w:val="clear" w:color="auto" w:fill="FEE9E3" w:themeFill="accent2" w:themeFillTint="19"/>
    </w:tcPr>
    <w:tblStylePr w:type="firstRow">
      <w:rPr>
        <w:b/>
        <w:bCs/>
        <w:color w:val="FFFFFF" w:themeColor="background1"/>
      </w:rPr>
      <w:tblPr/>
      <w:tcPr>
        <w:tcBorders>
          <w:bottom w:val="single" w:sz="12" w:space="0" w:color="FFFFFF" w:themeColor="background1"/>
        </w:tcBorders>
        <w:shd w:val="clear" w:color="auto" w:fill="AF2D02" w:themeFill="accent2" w:themeFillShade="CC"/>
      </w:tcPr>
    </w:tblStylePr>
    <w:tblStylePr w:type="lastRow">
      <w:rPr>
        <w:b/>
        <w:bCs/>
        <w:color w:val="AF2D0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C9B8" w:themeFill="accent2" w:themeFillTint="3F"/>
      </w:tcPr>
    </w:tblStylePr>
    <w:tblStylePr w:type="band1Horz">
      <w:tblPr/>
      <w:tcPr>
        <w:shd w:val="clear" w:color="auto" w:fill="FED3C6" w:themeFill="accent2" w:themeFillTint="33"/>
      </w:tcPr>
    </w:tblStylePr>
  </w:style>
  <w:style w:type="table" w:styleId="ColorfulList-Accent3">
    <w:name w:val="Colorful List Accent 3"/>
    <w:basedOn w:val="TableNormal"/>
    <w:uiPriority w:val="72"/>
    <w:semiHidden/>
    <w:unhideWhenUsed/>
    <w:rsid w:val="0057062A"/>
    <w:pPr>
      <w:spacing w:after="0" w:line="240" w:lineRule="auto"/>
    </w:pPr>
    <w:rPr>
      <w:color w:val="000000" w:themeColor="text1"/>
    </w:rPr>
    <w:tblPr>
      <w:tblStyleRowBandSize w:val="1"/>
      <w:tblStyleColBandSize w:val="1"/>
    </w:tblPr>
    <w:tcPr>
      <w:shd w:val="clear" w:color="auto" w:fill="E9F3FF" w:themeFill="accent3" w:themeFillTint="19"/>
    </w:tcPr>
    <w:tblStylePr w:type="firstRow">
      <w:rPr>
        <w:b/>
        <w:bCs/>
        <w:color w:val="FFFFFF" w:themeColor="background1"/>
      </w:rPr>
      <w:tblPr/>
      <w:tcPr>
        <w:tcBorders>
          <w:bottom w:val="single" w:sz="12" w:space="0" w:color="FFFFFF" w:themeColor="background1"/>
        </w:tcBorders>
        <w:shd w:val="clear" w:color="auto" w:fill="CE8A01" w:themeFill="accent4" w:themeFillShade="CC"/>
      </w:tcPr>
    </w:tblStylePr>
    <w:tblStylePr w:type="lastRow">
      <w:rPr>
        <w:b/>
        <w:bCs/>
        <w:color w:val="CE8A0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E1FE" w:themeFill="accent3" w:themeFillTint="3F"/>
      </w:tcPr>
    </w:tblStylePr>
    <w:tblStylePr w:type="band1Horz">
      <w:tblPr/>
      <w:tcPr>
        <w:shd w:val="clear" w:color="auto" w:fill="D3E7FE" w:themeFill="accent3" w:themeFillTint="33"/>
      </w:tcPr>
    </w:tblStylePr>
  </w:style>
  <w:style w:type="table" w:styleId="ColorfulList-Accent4">
    <w:name w:val="Colorful List Accent 4"/>
    <w:basedOn w:val="TableNormal"/>
    <w:uiPriority w:val="72"/>
    <w:semiHidden/>
    <w:unhideWhenUsed/>
    <w:rsid w:val="0057062A"/>
    <w:pPr>
      <w:spacing w:after="0" w:line="240" w:lineRule="auto"/>
    </w:pPr>
    <w:rPr>
      <w:color w:val="000000" w:themeColor="text1"/>
    </w:rPr>
    <w:tblPr>
      <w:tblStyleRowBandSize w:val="1"/>
      <w:tblStyleColBandSize w:val="1"/>
    </w:tblPr>
    <w:tcPr>
      <w:shd w:val="clear" w:color="auto" w:fill="FEF6E6" w:themeFill="accent4" w:themeFillTint="19"/>
    </w:tcPr>
    <w:tblStylePr w:type="firstRow">
      <w:rPr>
        <w:b/>
        <w:bCs/>
        <w:color w:val="FFFFFF" w:themeColor="background1"/>
      </w:rPr>
      <w:tblPr/>
      <w:tcPr>
        <w:tcBorders>
          <w:bottom w:val="single" w:sz="12" w:space="0" w:color="FFFFFF" w:themeColor="background1"/>
        </w:tcBorders>
        <w:shd w:val="clear" w:color="auto" w:fill="0169E8" w:themeFill="accent3" w:themeFillShade="CC"/>
      </w:tcPr>
    </w:tblStylePr>
    <w:tblStylePr w:type="lastRow">
      <w:rPr>
        <w:b/>
        <w:bCs/>
        <w:color w:val="0169E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AC1" w:themeFill="accent4" w:themeFillTint="3F"/>
      </w:tcPr>
    </w:tblStylePr>
    <w:tblStylePr w:type="band1Horz">
      <w:tblPr/>
      <w:tcPr>
        <w:shd w:val="clear" w:color="auto" w:fill="FEEECD" w:themeFill="accent4" w:themeFillTint="33"/>
      </w:tcPr>
    </w:tblStylePr>
  </w:style>
  <w:style w:type="table" w:styleId="ColorfulList-Accent5">
    <w:name w:val="Colorful List Accent 5"/>
    <w:basedOn w:val="TableNormal"/>
    <w:uiPriority w:val="72"/>
    <w:semiHidden/>
    <w:unhideWhenUsed/>
    <w:rsid w:val="0057062A"/>
    <w:pPr>
      <w:spacing w:after="0" w:line="240" w:lineRule="auto"/>
    </w:pPr>
    <w:rPr>
      <w:color w:val="000000" w:themeColor="text1"/>
    </w:rPr>
    <w:tblPr>
      <w:tblStyleRowBandSize w:val="1"/>
      <w:tblStyleColBandSize w:val="1"/>
    </w:tblPr>
    <w:tcPr>
      <w:shd w:val="clear" w:color="auto" w:fill="FCE7EE" w:themeFill="accent5" w:themeFillTint="19"/>
    </w:tcPr>
    <w:tblStylePr w:type="firstRow">
      <w:rPr>
        <w:b/>
        <w:bCs/>
        <w:color w:val="FFFFFF" w:themeColor="background1"/>
      </w:rPr>
      <w:tblPr/>
      <w:tcPr>
        <w:tcBorders>
          <w:bottom w:val="single" w:sz="12" w:space="0" w:color="FFFFFF" w:themeColor="background1"/>
        </w:tcBorders>
        <w:shd w:val="clear" w:color="auto" w:fill="59267F" w:themeFill="accent6" w:themeFillShade="CC"/>
      </w:tcPr>
    </w:tblStylePr>
    <w:tblStylePr w:type="lastRow">
      <w:rPr>
        <w:b/>
        <w:bCs/>
        <w:color w:val="59267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2D6" w:themeFill="accent5" w:themeFillTint="3F"/>
      </w:tcPr>
    </w:tblStylePr>
    <w:tblStylePr w:type="band1Horz">
      <w:tblPr/>
      <w:tcPr>
        <w:shd w:val="clear" w:color="auto" w:fill="FACEDD" w:themeFill="accent5" w:themeFillTint="33"/>
      </w:tcPr>
    </w:tblStylePr>
  </w:style>
  <w:style w:type="table" w:styleId="ColorfulList-Accent6">
    <w:name w:val="Colorful List Accent 6"/>
    <w:basedOn w:val="TableNormal"/>
    <w:uiPriority w:val="72"/>
    <w:semiHidden/>
    <w:unhideWhenUsed/>
    <w:rsid w:val="0057062A"/>
    <w:pPr>
      <w:spacing w:after="0" w:line="240" w:lineRule="auto"/>
    </w:pPr>
    <w:rPr>
      <w:color w:val="000000" w:themeColor="text1"/>
    </w:rPr>
    <w:tblPr>
      <w:tblStyleRowBandSize w:val="1"/>
      <w:tblStyleColBandSize w:val="1"/>
    </w:tblPr>
    <w:tcPr>
      <w:shd w:val="clear" w:color="auto" w:fill="F1E8F8" w:themeFill="accent6" w:themeFillTint="19"/>
    </w:tcPr>
    <w:tblStylePr w:type="firstRow">
      <w:rPr>
        <w:b/>
        <w:bCs/>
        <w:color w:val="FFFFFF" w:themeColor="background1"/>
      </w:rPr>
      <w:tblPr/>
      <w:tcPr>
        <w:tcBorders>
          <w:bottom w:val="single" w:sz="12" w:space="0" w:color="FFFFFF" w:themeColor="background1"/>
        </w:tcBorders>
        <w:shd w:val="clear" w:color="auto" w:fill="AF114A" w:themeFill="accent5" w:themeFillShade="CC"/>
      </w:tcPr>
    </w:tblStylePr>
    <w:tblStylePr w:type="lastRow">
      <w:rPr>
        <w:b/>
        <w:bCs/>
        <w:color w:val="AF114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C5ED" w:themeFill="accent6" w:themeFillTint="3F"/>
      </w:tcPr>
    </w:tblStylePr>
    <w:tblStylePr w:type="band1Horz">
      <w:tblPr/>
      <w:tcPr>
        <w:shd w:val="clear" w:color="auto" w:fill="E2D0F1" w:themeFill="accent6" w:themeFillTint="33"/>
      </w:tcPr>
    </w:tblStylePr>
  </w:style>
  <w:style w:type="table" w:styleId="ColorfulShading">
    <w:name w:val="Colorful Shading"/>
    <w:basedOn w:val="TableNormal"/>
    <w:uiPriority w:val="71"/>
    <w:semiHidden/>
    <w:unhideWhenUsed/>
    <w:rsid w:val="0057062A"/>
    <w:pPr>
      <w:spacing w:after="0" w:line="240" w:lineRule="auto"/>
    </w:pPr>
    <w:rPr>
      <w:color w:val="000000" w:themeColor="text1"/>
    </w:rPr>
    <w:tblPr>
      <w:tblStyleRowBandSize w:val="1"/>
      <w:tblStyleColBandSize w:val="1"/>
      <w:tblBorders>
        <w:top w:val="single" w:sz="24" w:space="0" w:color="DC390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C390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062A"/>
    <w:pPr>
      <w:spacing w:after="0" w:line="240" w:lineRule="auto"/>
    </w:pPr>
    <w:rPr>
      <w:color w:val="000000" w:themeColor="text1"/>
    </w:rPr>
    <w:tblPr>
      <w:tblStyleRowBandSize w:val="1"/>
      <w:tblStyleColBandSize w:val="1"/>
      <w:tblBorders>
        <w:top w:val="single" w:sz="24" w:space="0" w:color="DC3903" w:themeColor="accent2"/>
        <w:left w:val="single" w:sz="4" w:space="0" w:color="008139" w:themeColor="accent1"/>
        <w:bottom w:val="single" w:sz="4" w:space="0" w:color="008139" w:themeColor="accent1"/>
        <w:right w:val="single" w:sz="4" w:space="0" w:color="008139" w:themeColor="accent1"/>
        <w:insideH w:val="single" w:sz="4" w:space="0" w:color="FFFFFF" w:themeColor="background1"/>
        <w:insideV w:val="single" w:sz="4" w:space="0" w:color="FFFFFF" w:themeColor="background1"/>
      </w:tblBorders>
    </w:tblPr>
    <w:tcPr>
      <w:shd w:val="clear" w:color="auto" w:fill="D9FFE9" w:themeFill="accent1" w:themeFillTint="19"/>
    </w:tcPr>
    <w:tblStylePr w:type="firstRow">
      <w:rPr>
        <w:b/>
        <w:bCs/>
      </w:rPr>
      <w:tblPr/>
      <w:tcPr>
        <w:tcBorders>
          <w:top w:val="nil"/>
          <w:left w:val="nil"/>
          <w:bottom w:val="single" w:sz="24" w:space="0" w:color="DC390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D21" w:themeFill="accent1" w:themeFillShade="99"/>
      </w:tcPr>
    </w:tblStylePr>
    <w:tblStylePr w:type="firstCol">
      <w:rPr>
        <w:color w:val="FFFFFF" w:themeColor="background1"/>
      </w:rPr>
      <w:tblPr/>
      <w:tcPr>
        <w:tcBorders>
          <w:top w:val="nil"/>
          <w:left w:val="nil"/>
          <w:bottom w:val="nil"/>
          <w:right w:val="nil"/>
          <w:insideH w:val="single" w:sz="4" w:space="0" w:color="004D21" w:themeColor="accent1" w:themeShade="99"/>
          <w:insideV w:val="nil"/>
        </w:tcBorders>
        <w:shd w:val="clear" w:color="auto" w:fill="004D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D21" w:themeFill="accent1" w:themeFillShade="99"/>
      </w:tcPr>
    </w:tblStylePr>
    <w:tblStylePr w:type="band1Vert">
      <w:tblPr/>
      <w:tcPr>
        <w:shd w:val="clear" w:color="auto" w:fill="66FFA9" w:themeFill="accent1" w:themeFillTint="66"/>
      </w:tcPr>
    </w:tblStylePr>
    <w:tblStylePr w:type="band1Horz">
      <w:tblPr/>
      <w:tcPr>
        <w:shd w:val="clear" w:color="auto" w:fill="41FF9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062A"/>
    <w:pPr>
      <w:spacing w:after="0" w:line="240" w:lineRule="auto"/>
    </w:pPr>
    <w:rPr>
      <w:color w:val="000000" w:themeColor="text1"/>
    </w:rPr>
    <w:tblPr>
      <w:tblStyleRowBandSize w:val="1"/>
      <w:tblStyleColBandSize w:val="1"/>
      <w:tblBorders>
        <w:top w:val="single" w:sz="24" w:space="0" w:color="DC3903" w:themeColor="accent2"/>
        <w:left w:val="single" w:sz="4" w:space="0" w:color="DC3903" w:themeColor="accent2"/>
        <w:bottom w:val="single" w:sz="4" w:space="0" w:color="DC3903" w:themeColor="accent2"/>
        <w:right w:val="single" w:sz="4" w:space="0" w:color="DC3903" w:themeColor="accent2"/>
        <w:insideH w:val="single" w:sz="4" w:space="0" w:color="FFFFFF" w:themeColor="background1"/>
        <w:insideV w:val="single" w:sz="4" w:space="0" w:color="FFFFFF" w:themeColor="background1"/>
      </w:tblBorders>
    </w:tblPr>
    <w:tcPr>
      <w:shd w:val="clear" w:color="auto" w:fill="FEE9E3" w:themeFill="accent2" w:themeFillTint="19"/>
    </w:tcPr>
    <w:tblStylePr w:type="firstRow">
      <w:rPr>
        <w:b/>
        <w:bCs/>
      </w:rPr>
      <w:tblPr/>
      <w:tcPr>
        <w:tcBorders>
          <w:top w:val="nil"/>
          <w:left w:val="nil"/>
          <w:bottom w:val="single" w:sz="24" w:space="0" w:color="DC390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2202" w:themeFill="accent2" w:themeFillShade="99"/>
      </w:tcPr>
    </w:tblStylePr>
    <w:tblStylePr w:type="firstCol">
      <w:rPr>
        <w:color w:val="FFFFFF" w:themeColor="background1"/>
      </w:rPr>
      <w:tblPr/>
      <w:tcPr>
        <w:tcBorders>
          <w:top w:val="nil"/>
          <w:left w:val="nil"/>
          <w:bottom w:val="nil"/>
          <w:right w:val="nil"/>
          <w:insideH w:val="single" w:sz="4" w:space="0" w:color="832202" w:themeColor="accent2" w:themeShade="99"/>
          <w:insideV w:val="nil"/>
        </w:tcBorders>
        <w:shd w:val="clear" w:color="auto" w:fill="83220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32202" w:themeFill="accent2" w:themeFillShade="99"/>
      </w:tcPr>
    </w:tblStylePr>
    <w:tblStylePr w:type="band1Vert">
      <w:tblPr/>
      <w:tcPr>
        <w:shd w:val="clear" w:color="auto" w:fill="FDA98D" w:themeFill="accent2" w:themeFillTint="66"/>
      </w:tcPr>
    </w:tblStylePr>
    <w:tblStylePr w:type="band1Horz">
      <w:tblPr/>
      <w:tcPr>
        <w:shd w:val="clear" w:color="auto" w:fill="FD9471"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062A"/>
    <w:pPr>
      <w:spacing w:after="0" w:line="240" w:lineRule="auto"/>
    </w:pPr>
    <w:rPr>
      <w:color w:val="000000" w:themeColor="text1"/>
    </w:rPr>
    <w:tblPr>
      <w:tblStyleRowBandSize w:val="1"/>
      <w:tblStyleColBandSize w:val="1"/>
      <w:tblBorders>
        <w:top w:val="single" w:sz="24" w:space="0" w:color="FDAB07" w:themeColor="accent4"/>
        <w:left w:val="single" w:sz="4" w:space="0" w:color="2688FE" w:themeColor="accent3"/>
        <w:bottom w:val="single" w:sz="4" w:space="0" w:color="2688FE" w:themeColor="accent3"/>
        <w:right w:val="single" w:sz="4" w:space="0" w:color="2688FE" w:themeColor="accent3"/>
        <w:insideH w:val="single" w:sz="4" w:space="0" w:color="FFFFFF" w:themeColor="background1"/>
        <w:insideV w:val="single" w:sz="4" w:space="0" w:color="FFFFFF" w:themeColor="background1"/>
      </w:tblBorders>
    </w:tblPr>
    <w:tcPr>
      <w:shd w:val="clear" w:color="auto" w:fill="E9F3FF" w:themeFill="accent3" w:themeFillTint="19"/>
    </w:tcPr>
    <w:tblStylePr w:type="firstRow">
      <w:rPr>
        <w:b/>
        <w:bCs/>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FAE" w:themeFill="accent3" w:themeFillShade="99"/>
      </w:tcPr>
    </w:tblStylePr>
    <w:tblStylePr w:type="firstCol">
      <w:rPr>
        <w:color w:val="FFFFFF" w:themeColor="background1"/>
      </w:rPr>
      <w:tblPr/>
      <w:tcPr>
        <w:tcBorders>
          <w:top w:val="nil"/>
          <w:left w:val="nil"/>
          <w:bottom w:val="nil"/>
          <w:right w:val="nil"/>
          <w:insideH w:val="single" w:sz="4" w:space="0" w:color="014FAE" w:themeColor="accent3" w:themeShade="99"/>
          <w:insideV w:val="nil"/>
        </w:tcBorders>
        <w:shd w:val="clear" w:color="auto" w:fill="014FA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14FAE" w:themeFill="accent3" w:themeFillShade="99"/>
      </w:tcPr>
    </w:tblStylePr>
    <w:tblStylePr w:type="band1Vert">
      <w:tblPr/>
      <w:tcPr>
        <w:shd w:val="clear" w:color="auto" w:fill="A8CFFE" w:themeFill="accent3" w:themeFillTint="66"/>
      </w:tcPr>
    </w:tblStylePr>
    <w:tblStylePr w:type="band1Horz">
      <w:tblPr/>
      <w:tcPr>
        <w:shd w:val="clear" w:color="auto" w:fill="92C3FE" w:themeFill="accent3" w:themeFillTint="7F"/>
      </w:tcPr>
    </w:tblStylePr>
  </w:style>
  <w:style w:type="table" w:styleId="ColorfulShading-Accent4">
    <w:name w:val="Colorful Shading Accent 4"/>
    <w:basedOn w:val="TableNormal"/>
    <w:uiPriority w:val="71"/>
    <w:semiHidden/>
    <w:unhideWhenUsed/>
    <w:rsid w:val="0057062A"/>
    <w:pPr>
      <w:spacing w:after="0" w:line="240" w:lineRule="auto"/>
    </w:pPr>
    <w:rPr>
      <w:color w:val="000000" w:themeColor="text1"/>
    </w:rPr>
    <w:tblPr>
      <w:tblStyleRowBandSize w:val="1"/>
      <w:tblStyleColBandSize w:val="1"/>
      <w:tblBorders>
        <w:top w:val="single" w:sz="24" w:space="0" w:color="2688FE" w:themeColor="accent3"/>
        <w:left w:val="single" w:sz="4" w:space="0" w:color="FDAB07" w:themeColor="accent4"/>
        <w:bottom w:val="single" w:sz="4" w:space="0" w:color="FDAB07" w:themeColor="accent4"/>
        <w:right w:val="single" w:sz="4" w:space="0" w:color="FDAB07" w:themeColor="accent4"/>
        <w:insideH w:val="single" w:sz="4" w:space="0" w:color="FFFFFF" w:themeColor="background1"/>
        <w:insideV w:val="single" w:sz="4" w:space="0" w:color="FFFFFF" w:themeColor="background1"/>
      </w:tblBorders>
    </w:tblPr>
    <w:tcPr>
      <w:shd w:val="clear" w:color="auto" w:fill="FEF6E6" w:themeFill="accent4" w:themeFillTint="19"/>
    </w:tcPr>
    <w:tblStylePr w:type="firstRow">
      <w:rPr>
        <w:b/>
        <w:bCs/>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701" w:themeFill="accent4" w:themeFillShade="99"/>
      </w:tcPr>
    </w:tblStylePr>
    <w:tblStylePr w:type="firstCol">
      <w:rPr>
        <w:color w:val="FFFFFF" w:themeColor="background1"/>
      </w:rPr>
      <w:tblPr/>
      <w:tcPr>
        <w:tcBorders>
          <w:top w:val="nil"/>
          <w:left w:val="nil"/>
          <w:bottom w:val="nil"/>
          <w:right w:val="nil"/>
          <w:insideH w:val="single" w:sz="4" w:space="0" w:color="9A6701" w:themeColor="accent4" w:themeShade="99"/>
          <w:insideV w:val="nil"/>
        </w:tcBorders>
        <w:shd w:val="clear" w:color="auto" w:fill="9A670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A6701" w:themeFill="accent4" w:themeFillShade="99"/>
      </w:tcPr>
    </w:tblStylePr>
    <w:tblStylePr w:type="band1Vert">
      <w:tblPr/>
      <w:tcPr>
        <w:shd w:val="clear" w:color="auto" w:fill="FEDD9B" w:themeFill="accent4" w:themeFillTint="66"/>
      </w:tcPr>
    </w:tblStylePr>
    <w:tblStylePr w:type="band1Horz">
      <w:tblPr/>
      <w:tcPr>
        <w:shd w:val="clear" w:color="auto" w:fill="FED583"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062A"/>
    <w:pPr>
      <w:spacing w:after="0" w:line="240" w:lineRule="auto"/>
    </w:pPr>
    <w:rPr>
      <w:color w:val="000000" w:themeColor="text1"/>
    </w:rPr>
    <w:tblPr>
      <w:tblStyleRowBandSize w:val="1"/>
      <w:tblStyleColBandSize w:val="1"/>
      <w:tblBorders>
        <w:top w:val="single" w:sz="24" w:space="0" w:color="7030A0" w:themeColor="accent6"/>
        <w:left w:val="single" w:sz="4" w:space="0" w:color="DC165D" w:themeColor="accent5"/>
        <w:bottom w:val="single" w:sz="4" w:space="0" w:color="DC165D" w:themeColor="accent5"/>
        <w:right w:val="single" w:sz="4" w:space="0" w:color="DC165D" w:themeColor="accent5"/>
        <w:insideH w:val="single" w:sz="4" w:space="0" w:color="FFFFFF" w:themeColor="background1"/>
        <w:insideV w:val="single" w:sz="4" w:space="0" w:color="FFFFFF" w:themeColor="background1"/>
      </w:tblBorders>
    </w:tblPr>
    <w:tcPr>
      <w:shd w:val="clear" w:color="auto" w:fill="FCE7EE" w:themeFill="accent5" w:themeFillTint="19"/>
    </w:tcPr>
    <w:tblStylePr w:type="firstRow">
      <w:rPr>
        <w:b/>
        <w:bCs/>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0D37" w:themeFill="accent5" w:themeFillShade="99"/>
      </w:tcPr>
    </w:tblStylePr>
    <w:tblStylePr w:type="firstCol">
      <w:rPr>
        <w:color w:val="FFFFFF" w:themeColor="background1"/>
      </w:rPr>
      <w:tblPr/>
      <w:tcPr>
        <w:tcBorders>
          <w:top w:val="nil"/>
          <w:left w:val="nil"/>
          <w:bottom w:val="nil"/>
          <w:right w:val="nil"/>
          <w:insideH w:val="single" w:sz="4" w:space="0" w:color="830D37" w:themeColor="accent5" w:themeShade="99"/>
          <w:insideV w:val="nil"/>
        </w:tcBorders>
        <w:shd w:val="clear" w:color="auto" w:fill="830D3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30D37" w:themeFill="accent5" w:themeFillShade="99"/>
      </w:tcPr>
    </w:tblStylePr>
    <w:tblStylePr w:type="band1Vert">
      <w:tblPr/>
      <w:tcPr>
        <w:shd w:val="clear" w:color="auto" w:fill="F59DBC" w:themeFill="accent5" w:themeFillTint="66"/>
      </w:tcPr>
    </w:tblStylePr>
    <w:tblStylePr w:type="band1Horz">
      <w:tblPr/>
      <w:tcPr>
        <w:shd w:val="clear" w:color="auto" w:fill="F285A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062A"/>
    <w:pPr>
      <w:spacing w:after="0" w:line="240" w:lineRule="auto"/>
    </w:pPr>
    <w:rPr>
      <w:color w:val="000000" w:themeColor="text1"/>
    </w:rPr>
    <w:tblPr>
      <w:tblStyleRowBandSize w:val="1"/>
      <w:tblStyleColBandSize w:val="1"/>
      <w:tblBorders>
        <w:top w:val="single" w:sz="24" w:space="0" w:color="DC165D" w:themeColor="accent5"/>
        <w:left w:val="single" w:sz="4" w:space="0" w:color="7030A0" w:themeColor="accent6"/>
        <w:bottom w:val="single" w:sz="4" w:space="0" w:color="7030A0" w:themeColor="accent6"/>
        <w:right w:val="single" w:sz="4" w:space="0" w:color="7030A0" w:themeColor="accent6"/>
        <w:insideH w:val="single" w:sz="4" w:space="0" w:color="FFFFFF" w:themeColor="background1"/>
        <w:insideV w:val="single" w:sz="4" w:space="0" w:color="FFFFFF" w:themeColor="background1"/>
      </w:tblBorders>
    </w:tblPr>
    <w:tcPr>
      <w:shd w:val="clear" w:color="auto" w:fill="F1E8F8" w:themeFill="accent6" w:themeFillTint="19"/>
    </w:tcPr>
    <w:tblStylePr w:type="firstRow">
      <w:rPr>
        <w:b/>
        <w:bCs/>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1C5F" w:themeFill="accent6" w:themeFillShade="99"/>
      </w:tcPr>
    </w:tblStylePr>
    <w:tblStylePr w:type="firstCol">
      <w:rPr>
        <w:color w:val="FFFFFF" w:themeColor="background1"/>
      </w:rPr>
      <w:tblPr/>
      <w:tcPr>
        <w:tcBorders>
          <w:top w:val="nil"/>
          <w:left w:val="nil"/>
          <w:bottom w:val="nil"/>
          <w:right w:val="nil"/>
          <w:insideH w:val="single" w:sz="4" w:space="0" w:color="421C5F" w:themeColor="accent6" w:themeShade="99"/>
          <w:insideV w:val="nil"/>
        </w:tcBorders>
        <w:shd w:val="clear" w:color="auto" w:fill="421C5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21C5F" w:themeFill="accent6" w:themeFillShade="99"/>
      </w:tcPr>
    </w:tblStylePr>
    <w:tblStylePr w:type="band1Vert">
      <w:tblPr/>
      <w:tcPr>
        <w:shd w:val="clear" w:color="auto" w:fill="C6A1E3" w:themeFill="accent6" w:themeFillTint="66"/>
      </w:tcPr>
    </w:tblStylePr>
    <w:tblStylePr w:type="band1Horz">
      <w:tblPr/>
      <w:tcPr>
        <w:shd w:val="clear" w:color="auto" w:fill="B98BDC"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7062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062A"/>
    <w:pPr>
      <w:spacing w:after="0" w:line="240" w:lineRule="auto"/>
    </w:pPr>
    <w:rPr>
      <w:color w:val="FFFFFF" w:themeColor="background1"/>
    </w:rPr>
    <w:tblPr>
      <w:tblStyleRowBandSize w:val="1"/>
      <w:tblStyleColBandSize w:val="1"/>
    </w:tblPr>
    <w:tcPr>
      <w:shd w:val="clear" w:color="auto" w:fill="00813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01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02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02A" w:themeFill="accent1" w:themeFillShade="BF"/>
      </w:tcPr>
    </w:tblStylePr>
    <w:tblStylePr w:type="band1Vert">
      <w:tblPr/>
      <w:tcPr>
        <w:tcBorders>
          <w:top w:val="nil"/>
          <w:left w:val="nil"/>
          <w:bottom w:val="nil"/>
          <w:right w:val="nil"/>
          <w:insideH w:val="nil"/>
          <w:insideV w:val="nil"/>
        </w:tcBorders>
        <w:shd w:val="clear" w:color="auto" w:fill="00602A" w:themeFill="accent1" w:themeFillShade="BF"/>
      </w:tcPr>
    </w:tblStylePr>
    <w:tblStylePr w:type="band1Horz">
      <w:tblPr/>
      <w:tcPr>
        <w:tcBorders>
          <w:top w:val="nil"/>
          <w:left w:val="nil"/>
          <w:bottom w:val="nil"/>
          <w:right w:val="nil"/>
          <w:insideH w:val="nil"/>
          <w:insideV w:val="nil"/>
        </w:tcBorders>
        <w:shd w:val="clear" w:color="auto" w:fill="00602A" w:themeFill="accent1" w:themeFillShade="BF"/>
      </w:tcPr>
    </w:tblStylePr>
  </w:style>
  <w:style w:type="table" w:styleId="DarkList-Accent2">
    <w:name w:val="Dark List Accent 2"/>
    <w:basedOn w:val="TableNormal"/>
    <w:uiPriority w:val="70"/>
    <w:semiHidden/>
    <w:unhideWhenUsed/>
    <w:rsid w:val="0057062A"/>
    <w:pPr>
      <w:spacing w:after="0" w:line="240" w:lineRule="auto"/>
    </w:pPr>
    <w:rPr>
      <w:color w:val="FFFFFF" w:themeColor="background1"/>
    </w:rPr>
    <w:tblPr>
      <w:tblStyleRowBandSize w:val="1"/>
      <w:tblStyleColBandSize w:val="1"/>
    </w:tblPr>
    <w:tcPr>
      <w:shd w:val="clear" w:color="auto" w:fill="DC390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1C0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42A0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42A02" w:themeFill="accent2" w:themeFillShade="BF"/>
      </w:tcPr>
    </w:tblStylePr>
    <w:tblStylePr w:type="band1Vert">
      <w:tblPr/>
      <w:tcPr>
        <w:tcBorders>
          <w:top w:val="nil"/>
          <w:left w:val="nil"/>
          <w:bottom w:val="nil"/>
          <w:right w:val="nil"/>
          <w:insideH w:val="nil"/>
          <w:insideV w:val="nil"/>
        </w:tcBorders>
        <w:shd w:val="clear" w:color="auto" w:fill="A42A02" w:themeFill="accent2" w:themeFillShade="BF"/>
      </w:tcPr>
    </w:tblStylePr>
    <w:tblStylePr w:type="band1Horz">
      <w:tblPr/>
      <w:tcPr>
        <w:tcBorders>
          <w:top w:val="nil"/>
          <w:left w:val="nil"/>
          <w:bottom w:val="nil"/>
          <w:right w:val="nil"/>
          <w:insideH w:val="nil"/>
          <w:insideV w:val="nil"/>
        </w:tcBorders>
        <w:shd w:val="clear" w:color="auto" w:fill="A42A02" w:themeFill="accent2" w:themeFillShade="BF"/>
      </w:tcPr>
    </w:tblStylePr>
  </w:style>
  <w:style w:type="table" w:styleId="DarkList-Accent3">
    <w:name w:val="Dark List Accent 3"/>
    <w:basedOn w:val="TableNormal"/>
    <w:uiPriority w:val="70"/>
    <w:semiHidden/>
    <w:unhideWhenUsed/>
    <w:rsid w:val="0057062A"/>
    <w:pPr>
      <w:spacing w:after="0" w:line="240" w:lineRule="auto"/>
    </w:pPr>
    <w:rPr>
      <w:color w:val="FFFFFF" w:themeColor="background1"/>
    </w:rPr>
    <w:tblPr>
      <w:tblStyleRowBandSize w:val="1"/>
      <w:tblStyleColBandSize w:val="1"/>
    </w:tblPr>
    <w:tcPr>
      <w:shd w:val="clear" w:color="auto" w:fill="2688F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19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162D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162D9" w:themeFill="accent3" w:themeFillShade="BF"/>
      </w:tcPr>
    </w:tblStylePr>
    <w:tblStylePr w:type="band1Vert">
      <w:tblPr/>
      <w:tcPr>
        <w:tcBorders>
          <w:top w:val="nil"/>
          <w:left w:val="nil"/>
          <w:bottom w:val="nil"/>
          <w:right w:val="nil"/>
          <w:insideH w:val="nil"/>
          <w:insideV w:val="nil"/>
        </w:tcBorders>
        <w:shd w:val="clear" w:color="auto" w:fill="0162D9" w:themeFill="accent3" w:themeFillShade="BF"/>
      </w:tcPr>
    </w:tblStylePr>
    <w:tblStylePr w:type="band1Horz">
      <w:tblPr/>
      <w:tcPr>
        <w:tcBorders>
          <w:top w:val="nil"/>
          <w:left w:val="nil"/>
          <w:bottom w:val="nil"/>
          <w:right w:val="nil"/>
          <w:insideH w:val="nil"/>
          <w:insideV w:val="nil"/>
        </w:tcBorders>
        <w:shd w:val="clear" w:color="auto" w:fill="0162D9" w:themeFill="accent3" w:themeFillShade="BF"/>
      </w:tcPr>
    </w:tblStylePr>
  </w:style>
  <w:style w:type="table" w:styleId="DarkList-Accent4">
    <w:name w:val="Dark List Accent 4"/>
    <w:basedOn w:val="TableNormal"/>
    <w:uiPriority w:val="70"/>
    <w:semiHidden/>
    <w:unhideWhenUsed/>
    <w:rsid w:val="0057062A"/>
    <w:pPr>
      <w:spacing w:after="0" w:line="240" w:lineRule="auto"/>
    </w:pPr>
    <w:rPr>
      <w:color w:val="FFFFFF" w:themeColor="background1"/>
    </w:rPr>
    <w:tblPr>
      <w:tblStyleRowBandSize w:val="1"/>
      <w:tblStyleColBandSize w:val="1"/>
    </w:tblPr>
    <w:tcPr>
      <w:shd w:val="clear" w:color="auto" w:fill="FDAB0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0550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C1810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C18101" w:themeFill="accent4" w:themeFillShade="BF"/>
      </w:tcPr>
    </w:tblStylePr>
    <w:tblStylePr w:type="band1Vert">
      <w:tblPr/>
      <w:tcPr>
        <w:tcBorders>
          <w:top w:val="nil"/>
          <w:left w:val="nil"/>
          <w:bottom w:val="nil"/>
          <w:right w:val="nil"/>
          <w:insideH w:val="nil"/>
          <w:insideV w:val="nil"/>
        </w:tcBorders>
        <w:shd w:val="clear" w:color="auto" w:fill="C18101" w:themeFill="accent4" w:themeFillShade="BF"/>
      </w:tcPr>
    </w:tblStylePr>
    <w:tblStylePr w:type="band1Horz">
      <w:tblPr/>
      <w:tcPr>
        <w:tcBorders>
          <w:top w:val="nil"/>
          <w:left w:val="nil"/>
          <w:bottom w:val="nil"/>
          <w:right w:val="nil"/>
          <w:insideH w:val="nil"/>
          <w:insideV w:val="nil"/>
        </w:tcBorders>
        <w:shd w:val="clear" w:color="auto" w:fill="C18101" w:themeFill="accent4" w:themeFillShade="BF"/>
      </w:tcPr>
    </w:tblStylePr>
  </w:style>
  <w:style w:type="table" w:styleId="DarkList-Accent5">
    <w:name w:val="Dark List Accent 5"/>
    <w:basedOn w:val="TableNormal"/>
    <w:uiPriority w:val="70"/>
    <w:semiHidden/>
    <w:unhideWhenUsed/>
    <w:rsid w:val="0057062A"/>
    <w:pPr>
      <w:spacing w:after="0" w:line="240" w:lineRule="auto"/>
    </w:pPr>
    <w:rPr>
      <w:color w:val="FFFFFF" w:themeColor="background1"/>
    </w:rPr>
    <w:tblPr>
      <w:tblStyleRowBandSize w:val="1"/>
      <w:tblStyleColBandSize w:val="1"/>
    </w:tblPr>
    <w:tcPr>
      <w:shd w:val="clear" w:color="auto" w:fill="DC165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D0B2E"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4104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41045" w:themeFill="accent5" w:themeFillShade="BF"/>
      </w:tcPr>
    </w:tblStylePr>
    <w:tblStylePr w:type="band1Vert">
      <w:tblPr/>
      <w:tcPr>
        <w:tcBorders>
          <w:top w:val="nil"/>
          <w:left w:val="nil"/>
          <w:bottom w:val="nil"/>
          <w:right w:val="nil"/>
          <w:insideH w:val="nil"/>
          <w:insideV w:val="nil"/>
        </w:tcBorders>
        <w:shd w:val="clear" w:color="auto" w:fill="A41045" w:themeFill="accent5" w:themeFillShade="BF"/>
      </w:tcPr>
    </w:tblStylePr>
    <w:tblStylePr w:type="band1Horz">
      <w:tblPr/>
      <w:tcPr>
        <w:tcBorders>
          <w:top w:val="nil"/>
          <w:left w:val="nil"/>
          <w:bottom w:val="nil"/>
          <w:right w:val="nil"/>
          <w:insideH w:val="nil"/>
          <w:insideV w:val="nil"/>
        </w:tcBorders>
        <w:shd w:val="clear" w:color="auto" w:fill="A41045" w:themeFill="accent5" w:themeFillShade="BF"/>
      </w:tcPr>
    </w:tblStylePr>
  </w:style>
  <w:style w:type="table" w:styleId="DarkList-Accent6">
    <w:name w:val="Dark List Accent 6"/>
    <w:basedOn w:val="TableNormal"/>
    <w:uiPriority w:val="70"/>
    <w:semiHidden/>
    <w:unhideWhenUsed/>
    <w:rsid w:val="0057062A"/>
    <w:pPr>
      <w:spacing w:after="0" w:line="240" w:lineRule="auto"/>
    </w:pPr>
    <w:rPr>
      <w:color w:val="FFFFFF" w:themeColor="background1"/>
    </w:rPr>
    <w:tblPr>
      <w:tblStyleRowBandSize w:val="1"/>
      <w:tblStyleColBandSize w:val="1"/>
    </w:tblPr>
    <w:tcPr>
      <w:shd w:val="clear" w:color="auto" w:fill="7030A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184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247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2477" w:themeFill="accent6" w:themeFillShade="BF"/>
      </w:tcPr>
    </w:tblStylePr>
    <w:tblStylePr w:type="band1Vert">
      <w:tblPr/>
      <w:tcPr>
        <w:tcBorders>
          <w:top w:val="nil"/>
          <w:left w:val="nil"/>
          <w:bottom w:val="nil"/>
          <w:right w:val="nil"/>
          <w:insideH w:val="nil"/>
          <w:insideV w:val="nil"/>
        </w:tcBorders>
        <w:shd w:val="clear" w:color="auto" w:fill="532477" w:themeFill="accent6" w:themeFillShade="BF"/>
      </w:tcPr>
    </w:tblStylePr>
    <w:tblStylePr w:type="band1Horz">
      <w:tblPr/>
      <w:tcPr>
        <w:tcBorders>
          <w:top w:val="nil"/>
          <w:left w:val="nil"/>
          <w:bottom w:val="nil"/>
          <w:right w:val="nil"/>
          <w:insideH w:val="nil"/>
          <w:insideV w:val="nil"/>
        </w:tcBorders>
        <w:shd w:val="clear" w:color="auto" w:fill="532477" w:themeFill="accent6" w:themeFillShade="BF"/>
      </w:tcPr>
    </w:tblStylePr>
  </w:style>
  <w:style w:type="table" w:styleId="GridTable1Light">
    <w:name w:val="Grid Table 1 Light"/>
    <w:basedOn w:val="TableNormal"/>
    <w:uiPriority w:val="46"/>
    <w:rsid w:val="0057062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062A"/>
    <w:pPr>
      <w:spacing w:after="0" w:line="240" w:lineRule="auto"/>
    </w:pPr>
    <w:tblPr>
      <w:tblStyleRowBandSize w:val="1"/>
      <w:tblStyleColBandSize w:val="1"/>
      <w:tblBorders>
        <w:top w:val="single" w:sz="4" w:space="0" w:color="66FFA9" w:themeColor="accent1" w:themeTint="66"/>
        <w:left w:val="single" w:sz="4" w:space="0" w:color="66FFA9" w:themeColor="accent1" w:themeTint="66"/>
        <w:bottom w:val="single" w:sz="4" w:space="0" w:color="66FFA9" w:themeColor="accent1" w:themeTint="66"/>
        <w:right w:val="single" w:sz="4" w:space="0" w:color="66FFA9" w:themeColor="accent1" w:themeTint="66"/>
        <w:insideH w:val="single" w:sz="4" w:space="0" w:color="66FFA9" w:themeColor="accent1" w:themeTint="66"/>
        <w:insideV w:val="single" w:sz="4" w:space="0" w:color="66FFA9" w:themeColor="accent1" w:themeTint="66"/>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2" w:space="0" w:color="1AFF7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062A"/>
    <w:pPr>
      <w:spacing w:after="0" w:line="240" w:lineRule="auto"/>
    </w:pPr>
    <w:tblPr>
      <w:tblStyleRowBandSize w:val="1"/>
      <w:tblStyleColBandSize w:val="1"/>
      <w:tblBorders>
        <w:top w:val="single" w:sz="4" w:space="0" w:color="FDA98D" w:themeColor="accent2" w:themeTint="66"/>
        <w:left w:val="single" w:sz="4" w:space="0" w:color="FDA98D" w:themeColor="accent2" w:themeTint="66"/>
        <w:bottom w:val="single" w:sz="4" w:space="0" w:color="FDA98D" w:themeColor="accent2" w:themeTint="66"/>
        <w:right w:val="single" w:sz="4" w:space="0" w:color="FDA98D" w:themeColor="accent2" w:themeTint="66"/>
        <w:insideH w:val="single" w:sz="4" w:space="0" w:color="FDA98D" w:themeColor="accent2" w:themeTint="66"/>
        <w:insideV w:val="single" w:sz="4" w:space="0" w:color="FDA98D" w:themeColor="accent2" w:themeTint="66"/>
      </w:tblBorders>
    </w:tblPr>
    <w:tblStylePr w:type="firstRow">
      <w:rPr>
        <w:b/>
        <w:bCs/>
      </w:rPr>
      <w:tblPr/>
      <w:tcPr>
        <w:tcBorders>
          <w:bottom w:val="single" w:sz="12" w:space="0" w:color="FC7E55" w:themeColor="accent2" w:themeTint="99"/>
        </w:tcBorders>
      </w:tcPr>
    </w:tblStylePr>
    <w:tblStylePr w:type="lastRow">
      <w:rPr>
        <w:b/>
        <w:bCs/>
      </w:rPr>
      <w:tblPr/>
      <w:tcPr>
        <w:tcBorders>
          <w:top w:val="double" w:sz="2" w:space="0" w:color="FC7E5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062A"/>
    <w:pPr>
      <w:spacing w:after="0" w:line="240" w:lineRule="auto"/>
    </w:pPr>
    <w:tblPr>
      <w:tblStyleRowBandSize w:val="1"/>
      <w:tblStyleColBandSize w:val="1"/>
      <w:tblBorders>
        <w:top w:val="single" w:sz="4" w:space="0" w:color="A8CFFE" w:themeColor="accent3" w:themeTint="66"/>
        <w:left w:val="single" w:sz="4" w:space="0" w:color="A8CFFE" w:themeColor="accent3" w:themeTint="66"/>
        <w:bottom w:val="single" w:sz="4" w:space="0" w:color="A8CFFE" w:themeColor="accent3" w:themeTint="66"/>
        <w:right w:val="single" w:sz="4" w:space="0" w:color="A8CFFE" w:themeColor="accent3" w:themeTint="66"/>
        <w:insideH w:val="single" w:sz="4" w:space="0" w:color="A8CFFE" w:themeColor="accent3" w:themeTint="66"/>
        <w:insideV w:val="single" w:sz="4" w:space="0" w:color="A8CFFE" w:themeColor="accent3" w:themeTint="66"/>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2" w:space="0" w:color="7CB7F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062A"/>
    <w:pPr>
      <w:spacing w:after="0" w:line="240" w:lineRule="auto"/>
    </w:pPr>
    <w:tblPr>
      <w:tblStyleRowBandSize w:val="1"/>
      <w:tblStyleColBandSize w:val="1"/>
      <w:tblBorders>
        <w:top w:val="single" w:sz="4" w:space="0" w:color="FEDD9B" w:themeColor="accent4" w:themeTint="66"/>
        <w:left w:val="single" w:sz="4" w:space="0" w:color="FEDD9B" w:themeColor="accent4" w:themeTint="66"/>
        <w:bottom w:val="single" w:sz="4" w:space="0" w:color="FEDD9B" w:themeColor="accent4" w:themeTint="66"/>
        <w:right w:val="single" w:sz="4" w:space="0" w:color="FEDD9B" w:themeColor="accent4" w:themeTint="66"/>
        <w:insideH w:val="single" w:sz="4" w:space="0" w:color="FEDD9B" w:themeColor="accent4" w:themeTint="66"/>
        <w:insideV w:val="single" w:sz="4" w:space="0" w:color="FEDD9B" w:themeColor="accent4" w:themeTint="66"/>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2" w:space="0" w:color="FDCC6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062A"/>
    <w:pPr>
      <w:spacing w:after="0" w:line="240" w:lineRule="auto"/>
    </w:pPr>
    <w:tblPr>
      <w:tblStyleRowBandSize w:val="1"/>
      <w:tblStyleColBandSize w:val="1"/>
      <w:tblBorders>
        <w:top w:val="single" w:sz="4" w:space="0" w:color="F59DBC" w:themeColor="accent5" w:themeTint="66"/>
        <w:left w:val="single" w:sz="4" w:space="0" w:color="F59DBC" w:themeColor="accent5" w:themeTint="66"/>
        <w:bottom w:val="single" w:sz="4" w:space="0" w:color="F59DBC" w:themeColor="accent5" w:themeTint="66"/>
        <w:right w:val="single" w:sz="4" w:space="0" w:color="F59DBC" w:themeColor="accent5" w:themeTint="66"/>
        <w:insideH w:val="single" w:sz="4" w:space="0" w:color="F59DBC" w:themeColor="accent5" w:themeTint="66"/>
        <w:insideV w:val="single" w:sz="4" w:space="0" w:color="F59DBC" w:themeColor="accent5" w:themeTint="66"/>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2" w:space="0" w:color="F06C9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062A"/>
    <w:pPr>
      <w:spacing w:after="0" w:line="240" w:lineRule="auto"/>
    </w:pPr>
    <w:tblPr>
      <w:tblStyleRowBandSize w:val="1"/>
      <w:tblStyleColBandSize w:val="1"/>
      <w:tblBorders>
        <w:top w:val="single" w:sz="4" w:space="0" w:color="C6A1E3" w:themeColor="accent6" w:themeTint="66"/>
        <w:left w:val="single" w:sz="4" w:space="0" w:color="C6A1E3" w:themeColor="accent6" w:themeTint="66"/>
        <w:bottom w:val="single" w:sz="4" w:space="0" w:color="C6A1E3" w:themeColor="accent6" w:themeTint="66"/>
        <w:right w:val="single" w:sz="4" w:space="0" w:color="C6A1E3" w:themeColor="accent6" w:themeTint="66"/>
        <w:insideH w:val="single" w:sz="4" w:space="0" w:color="C6A1E3" w:themeColor="accent6" w:themeTint="66"/>
        <w:insideV w:val="single" w:sz="4" w:space="0" w:color="C6A1E3" w:themeColor="accent6" w:themeTint="66"/>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2" w:space="0" w:color="AB73D5"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062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062A"/>
    <w:pPr>
      <w:spacing w:after="0" w:line="240" w:lineRule="auto"/>
    </w:pPr>
    <w:tblPr>
      <w:tblStyleRowBandSize w:val="1"/>
      <w:tblStyleColBandSize w:val="1"/>
      <w:tblBorders>
        <w:top w:val="single" w:sz="2" w:space="0" w:color="1AFF7E" w:themeColor="accent1" w:themeTint="99"/>
        <w:bottom w:val="single" w:sz="2" w:space="0" w:color="1AFF7E" w:themeColor="accent1" w:themeTint="99"/>
        <w:insideH w:val="single" w:sz="2" w:space="0" w:color="1AFF7E" w:themeColor="accent1" w:themeTint="99"/>
        <w:insideV w:val="single" w:sz="2" w:space="0" w:color="1AFF7E" w:themeColor="accent1" w:themeTint="99"/>
      </w:tblBorders>
    </w:tblPr>
    <w:tblStylePr w:type="firstRow">
      <w:rPr>
        <w:b/>
        <w:bCs/>
      </w:rPr>
      <w:tblPr/>
      <w:tcPr>
        <w:tcBorders>
          <w:top w:val="nil"/>
          <w:bottom w:val="single" w:sz="12" w:space="0" w:color="1AFF7E" w:themeColor="accent1" w:themeTint="99"/>
          <w:insideH w:val="nil"/>
          <w:insideV w:val="nil"/>
        </w:tcBorders>
        <w:shd w:val="clear" w:color="auto" w:fill="FFFFFF" w:themeFill="background1"/>
      </w:tcPr>
    </w:tblStylePr>
    <w:tblStylePr w:type="lastRow">
      <w:rPr>
        <w:b/>
        <w:bCs/>
      </w:rPr>
      <w:tblPr/>
      <w:tcPr>
        <w:tcBorders>
          <w:top w:val="double" w:sz="2" w:space="0" w:color="1AFF7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2-Accent2">
    <w:name w:val="Grid Table 2 Accent 2"/>
    <w:basedOn w:val="TableNormal"/>
    <w:uiPriority w:val="47"/>
    <w:rsid w:val="0057062A"/>
    <w:pPr>
      <w:spacing w:after="0" w:line="240" w:lineRule="auto"/>
    </w:pPr>
    <w:tblPr>
      <w:tblStyleRowBandSize w:val="1"/>
      <w:tblStyleColBandSize w:val="1"/>
      <w:tblBorders>
        <w:top w:val="single" w:sz="2" w:space="0" w:color="FC7E55" w:themeColor="accent2" w:themeTint="99"/>
        <w:bottom w:val="single" w:sz="2" w:space="0" w:color="FC7E55" w:themeColor="accent2" w:themeTint="99"/>
        <w:insideH w:val="single" w:sz="2" w:space="0" w:color="FC7E55" w:themeColor="accent2" w:themeTint="99"/>
        <w:insideV w:val="single" w:sz="2" w:space="0" w:color="FC7E55" w:themeColor="accent2" w:themeTint="99"/>
      </w:tblBorders>
    </w:tblPr>
    <w:tblStylePr w:type="firstRow">
      <w:rPr>
        <w:b/>
        <w:bCs/>
      </w:rPr>
      <w:tblPr/>
      <w:tcPr>
        <w:tcBorders>
          <w:top w:val="nil"/>
          <w:bottom w:val="single" w:sz="12" w:space="0" w:color="FC7E55" w:themeColor="accent2" w:themeTint="99"/>
          <w:insideH w:val="nil"/>
          <w:insideV w:val="nil"/>
        </w:tcBorders>
        <w:shd w:val="clear" w:color="auto" w:fill="FFFFFF" w:themeFill="background1"/>
      </w:tcPr>
    </w:tblStylePr>
    <w:tblStylePr w:type="lastRow">
      <w:rPr>
        <w:b/>
        <w:bCs/>
      </w:rPr>
      <w:tblPr/>
      <w:tcPr>
        <w:tcBorders>
          <w:top w:val="double" w:sz="2" w:space="0" w:color="FC7E5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3C6" w:themeFill="accent2" w:themeFillTint="33"/>
      </w:tcPr>
    </w:tblStylePr>
    <w:tblStylePr w:type="band1Horz">
      <w:tblPr/>
      <w:tcPr>
        <w:shd w:val="clear" w:color="auto" w:fill="FED3C6" w:themeFill="accent2" w:themeFillTint="33"/>
      </w:tcPr>
    </w:tblStylePr>
  </w:style>
  <w:style w:type="table" w:styleId="GridTable2-Accent3">
    <w:name w:val="Grid Table 2 Accent 3"/>
    <w:basedOn w:val="TableNormal"/>
    <w:uiPriority w:val="47"/>
    <w:rsid w:val="0057062A"/>
    <w:pPr>
      <w:spacing w:after="0" w:line="240" w:lineRule="auto"/>
    </w:pPr>
    <w:tblPr>
      <w:tblStyleRowBandSize w:val="1"/>
      <w:tblStyleColBandSize w:val="1"/>
      <w:tblBorders>
        <w:top w:val="single" w:sz="2" w:space="0" w:color="7CB7FE" w:themeColor="accent3" w:themeTint="99"/>
        <w:bottom w:val="single" w:sz="2" w:space="0" w:color="7CB7FE" w:themeColor="accent3" w:themeTint="99"/>
        <w:insideH w:val="single" w:sz="2" w:space="0" w:color="7CB7FE" w:themeColor="accent3" w:themeTint="99"/>
        <w:insideV w:val="single" w:sz="2" w:space="0" w:color="7CB7FE" w:themeColor="accent3" w:themeTint="99"/>
      </w:tblBorders>
    </w:tblPr>
    <w:tblStylePr w:type="firstRow">
      <w:rPr>
        <w:b/>
        <w:bCs/>
      </w:rPr>
      <w:tblPr/>
      <w:tcPr>
        <w:tcBorders>
          <w:top w:val="nil"/>
          <w:bottom w:val="single" w:sz="12" w:space="0" w:color="7CB7FE" w:themeColor="accent3" w:themeTint="99"/>
          <w:insideH w:val="nil"/>
          <w:insideV w:val="nil"/>
        </w:tcBorders>
        <w:shd w:val="clear" w:color="auto" w:fill="FFFFFF" w:themeFill="background1"/>
      </w:tcPr>
    </w:tblStylePr>
    <w:tblStylePr w:type="lastRow">
      <w:rPr>
        <w:b/>
        <w:bCs/>
      </w:rPr>
      <w:tblPr/>
      <w:tcPr>
        <w:tcBorders>
          <w:top w:val="double" w:sz="2" w:space="0" w:color="7CB7F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2-Accent4">
    <w:name w:val="Grid Table 2 Accent 4"/>
    <w:basedOn w:val="TableNormal"/>
    <w:uiPriority w:val="47"/>
    <w:rsid w:val="0057062A"/>
    <w:pPr>
      <w:spacing w:after="0" w:line="240" w:lineRule="auto"/>
    </w:pPr>
    <w:tblPr>
      <w:tblStyleRowBandSize w:val="1"/>
      <w:tblStyleColBandSize w:val="1"/>
      <w:tblBorders>
        <w:top w:val="single" w:sz="2" w:space="0" w:color="FDCC6A" w:themeColor="accent4" w:themeTint="99"/>
        <w:bottom w:val="single" w:sz="2" w:space="0" w:color="FDCC6A" w:themeColor="accent4" w:themeTint="99"/>
        <w:insideH w:val="single" w:sz="2" w:space="0" w:color="FDCC6A" w:themeColor="accent4" w:themeTint="99"/>
        <w:insideV w:val="single" w:sz="2" w:space="0" w:color="FDCC6A" w:themeColor="accent4" w:themeTint="99"/>
      </w:tblBorders>
    </w:tblPr>
    <w:tblStylePr w:type="firstRow">
      <w:rPr>
        <w:b/>
        <w:bCs/>
      </w:rPr>
      <w:tblPr/>
      <w:tcPr>
        <w:tcBorders>
          <w:top w:val="nil"/>
          <w:bottom w:val="single" w:sz="12" w:space="0" w:color="FDCC6A" w:themeColor="accent4" w:themeTint="99"/>
          <w:insideH w:val="nil"/>
          <w:insideV w:val="nil"/>
        </w:tcBorders>
        <w:shd w:val="clear" w:color="auto" w:fill="FFFFFF" w:themeFill="background1"/>
      </w:tcPr>
    </w:tblStylePr>
    <w:tblStylePr w:type="lastRow">
      <w:rPr>
        <w:b/>
        <w:bCs/>
      </w:rPr>
      <w:tblPr/>
      <w:tcPr>
        <w:tcBorders>
          <w:top w:val="double" w:sz="2" w:space="0" w:color="FDCC6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2-Accent5">
    <w:name w:val="Grid Table 2 Accent 5"/>
    <w:basedOn w:val="TableNormal"/>
    <w:uiPriority w:val="47"/>
    <w:rsid w:val="0057062A"/>
    <w:pPr>
      <w:spacing w:after="0" w:line="240" w:lineRule="auto"/>
    </w:pPr>
    <w:tblPr>
      <w:tblStyleRowBandSize w:val="1"/>
      <w:tblStyleColBandSize w:val="1"/>
      <w:tblBorders>
        <w:top w:val="single" w:sz="2" w:space="0" w:color="F06C9B" w:themeColor="accent5" w:themeTint="99"/>
        <w:bottom w:val="single" w:sz="2" w:space="0" w:color="F06C9B" w:themeColor="accent5" w:themeTint="99"/>
        <w:insideH w:val="single" w:sz="2" w:space="0" w:color="F06C9B" w:themeColor="accent5" w:themeTint="99"/>
        <w:insideV w:val="single" w:sz="2" w:space="0" w:color="F06C9B" w:themeColor="accent5" w:themeTint="99"/>
      </w:tblBorders>
    </w:tblPr>
    <w:tblStylePr w:type="firstRow">
      <w:rPr>
        <w:b/>
        <w:bCs/>
      </w:rPr>
      <w:tblPr/>
      <w:tcPr>
        <w:tcBorders>
          <w:top w:val="nil"/>
          <w:bottom w:val="single" w:sz="12" w:space="0" w:color="F06C9B" w:themeColor="accent5" w:themeTint="99"/>
          <w:insideH w:val="nil"/>
          <w:insideV w:val="nil"/>
        </w:tcBorders>
        <w:shd w:val="clear" w:color="auto" w:fill="FFFFFF" w:themeFill="background1"/>
      </w:tcPr>
    </w:tblStylePr>
    <w:tblStylePr w:type="lastRow">
      <w:rPr>
        <w:b/>
        <w:bCs/>
      </w:rPr>
      <w:tblPr/>
      <w:tcPr>
        <w:tcBorders>
          <w:top w:val="double" w:sz="2" w:space="0" w:color="F06C9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2-Accent6">
    <w:name w:val="Grid Table 2 Accent 6"/>
    <w:basedOn w:val="TableNormal"/>
    <w:uiPriority w:val="47"/>
    <w:rsid w:val="0057062A"/>
    <w:pPr>
      <w:spacing w:after="0" w:line="240" w:lineRule="auto"/>
    </w:pPr>
    <w:tblPr>
      <w:tblStyleRowBandSize w:val="1"/>
      <w:tblStyleColBandSize w:val="1"/>
      <w:tblBorders>
        <w:top w:val="single" w:sz="2" w:space="0" w:color="AB73D5" w:themeColor="accent6" w:themeTint="99"/>
        <w:bottom w:val="single" w:sz="2" w:space="0" w:color="AB73D5" w:themeColor="accent6" w:themeTint="99"/>
        <w:insideH w:val="single" w:sz="2" w:space="0" w:color="AB73D5" w:themeColor="accent6" w:themeTint="99"/>
        <w:insideV w:val="single" w:sz="2" w:space="0" w:color="AB73D5" w:themeColor="accent6" w:themeTint="99"/>
      </w:tblBorders>
    </w:tblPr>
    <w:tblStylePr w:type="firstRow">
      <w:rPr>
        <w:b/>
        <w:bCs/>
      </w:rPr>
      <w:tblPr/>
      <w:tcPr>
        <w:tcBorders>
          <w:top w:val="nil"/>
          <w:bottom w:val="single" w:sz="12" w:space="0" w:color="AB73D5" w:themeColor="accent6" w:themeTint="99"/>
          <w:insideH w:val="nil"/>
          <w:insideV w:val="nil"/>
        </w:tcBorders>
        <w:shd w:val="clear" w:color="auto" w:fill="FFFFFF" w:themeFill="background1"/>
      </w:tcPr>
    </w:tblStylePr>
    <w:tblStylePr w:type="lastRow">
      <w:rPr>
        <w:b/>
        <w:bCs/>
      </w:rPr>
      <w:tblPr/>
      <w:tcPr>
        <w:tcBorders>
          <w:top w:val="double" w:sz="2" w:space="0" w:color="AB73D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3">
    <w:name w:val="Grid Table 3"/>
    <w:basedOn w:val="TableNormal"/>
    <w:uiPriority w:val="48"/>
    <w:rsid w:val="0057062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062A"/>
    <w:pPr>
      <w:spacing w:after="0" w:line="240" w:lineRule="auto"/>
    </w:p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3-Accent2">
    <w:name w:val="Grid Table 3 Accent 2"/>
    <w:basedOn w:val="TableNormal"/>
    <w:uiPriority w:val="48"/>
    <w:rsid w:val="0057062A"/>
    <w:pPr>
      <w:spacing w:after="0" w:line="240" w:lineRule="auto"/>
    </w:pPr>
    <w:tblPr>
      <w:tblStyleRowBandSize w:val="1"/>
      <w:tblStyleColBandSize w:val="1"/>
      <w:tblBorders>
        <w:top w:val="single" w:sz="4" w:space="0" w:color="FC7E55" w:themeColor="accent2" w:themeTint="99"/>
        <w:left w:val="single" w:sz="4" w:space="0" w:color="FC7E55" w:themeColor="accent2" w:themeTint="99"/>
        <w:bottom w:val="single" w:sz="4" w:space="0" w:color="FC7E55" w:themeColor="accent2" w:themeTint="99"/>
        <w:right w:val="single" w:sz="4" w:space="0" w:color="FC7E55" w:themeColor="accent2" w:themeTint="99"/>
        <w:insideH w:val="single" w:sz="4" w:space="0" w:color="FC7E55" w:themeColor="accent2" w:themeTint="99"/>
        <w:insideV w:val="single" w:sz="4" w:space="0" w:color="FC7E5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3C6" w:themeFill="accent2" w:themeFillTint="33"/>
      </w:tcPr>
    </w:tblStylePr>
    <w:tblStylePr w:type="band1Horz">
      <w:tblPr/>
      <w:tcPr>
        <w:shd w:val="clear" w:color="auto" w:fill="FED3C6" w:themeFill="accent2" w:themeFillTint="33"/>
      </w:tcPr>
    </w:tblStylePr>
    <w:tblStylePr w:type="neCell">
      <w:tblPr/>
      <w:tcPr>
        <w:tcBorders>
          <w:bottom w:val="single" w:sz="4" w:space="0" w:color="FC7E55" w:themeColor="accent2" w:themeTint="99"/>
        </w:tcBorders>
      </w:tcPr>
    </w:tblStylePr>
    <w:tblStylePr w:type="nwCell">
      <w:tblPr/>
      <w:tcPr>
        <w:tcBorders>
          <w:bottom w:val="single" w:sz="4" w:space="0" w:color="FC7E55" w:themeColor="accent2" w:themeTint="99"/>
        </w:tcBorders>
      </w:tcPr>
    </w:tblStylePr>
    <w:tblStylePr w:type="seCell">
      <w:tblPr/>
      <w:tcPr>
        <w:tcBorders>
          <w:top w:val="single" w:sz="4" w:space="0" w:color="FC7E55" w:themeColor="accent2" w:themeTint="99"/>
        </w:tcBorders>
      </w:tcPr>
    </w:tblStylePr>
    <w:tblStylePr w:type="swCell">
      <w:tblPr/>
      <w:tcPr>
        <w:tcBorders>
          <w:top w:val="single" w:sz="4" w:space="0" w:color="FC7E55" w:themeColor="accent2" w:themeTint="99"/>
        </w:tcBorders>
      </w:tcPr>
    </w:tblStylePr>
  </w:style>
  <w:style w:type="table" w:styleId="GridTable3-Accent3">
    <w:name w:val="Grid Table 3 Accent 3"/>
    <w:basedOn w:val="TableNormal"/>
    <w:uiPriority w:val="48"/>
    <w:rsid w:val="0057062A"/>
    <w:pPr>
      <w:spacing w:after="0" w:line="240" w:lineRule="auto"/>
    </w:p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3-Accent4">
    <w:name w:val="Grid Table 3 Accent 4"/>
    <w:basedOn w:val="TableNormal"/>
    <w:uiPriority w:val="48"/>
    <w:rsid w:val="0057062A"/>
    <w:pPr>
      <w:spacing w:after="0" w:line="240" w:lineRule="auto"/>
    </w:p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3-Accent5">
    <w:name w:val="Grid Table 3 Accent 5"/>
    <w:basedOn w:val="TableNormal"/>
    <w:uiPriority w:val="48"/>
    <w:rsid w:val="0057062A"/>
    <w:pPr>
      <w:spacing w:after="0" w:line="240" w:lineRule="auto"/>
    </w:p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3-Accent6">
    <w:name w:val="Grid Table 3 Accent 6"/>
    <w:basedOn w:val="TableNormal"/>
    <w:uiPriority w:val="48"/>
    <w:rsid w:val="0057062A"/>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GridTable4">
    <w:name w:val="Grid Table 4"/>
    <w:basedOn w:val="TableNormal"/>
    <w:uiPriority w:val="49"/>
    <w:rsid w:val="0057062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062A"/>
    <w:pPr>
      <w:spacing w:after="0" w:line="240" w:lineRule="auto"/>
    </w:p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insideV w:val="nil"/>
        </w:tcBorders>
        <w:shd w:val="clear" w:color="auto" w:fill="008139" w:themeFill="accent1"/>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4-Accent2">
    <w:name w:val="Grid Table 4 Accent 2"/>
    <w:basedOn w:val="TableNormal"/>
    <w:uiPriority w:val="49"/>
    <w:rsid w:val="0057062A"/>
    <w:pPr>
      <w:spacing w:after="0" w:line="240" w:lineRule="auto"/>
    </w:pPr>
    <w:tblPr>
      <w:tblStyleRowBandSize w:val="1"/>
      <w:tblStyleColBandSize w:val="1"/>
      <w:tblBorders>
        <w:top w:val="single" w:sz="4" w:space="0" w:color="FC7E55" w:themeColor="accent2" w:themeTint="99"/>
        <w:left w:val="single" w:sz="4" w:space="0" w:color="FC7E55" w:themeColor="accent2" w:themeTint="99"/>
        <w:bottom w:val="single" w:sz="4" w:space="0" w:color="FC7E55" w:themeColor="accent2" w:themeTint="99"/>
        <w:right w:val="single" w:sz="4" w:space="0" w:color="FC7E55" w:themeColor="accent2" w:themeTint="99"/>
        <w:insideH w:val="single" w:sz="4" w:space="0" w:color="FC7E55" w:themeColor="accent2" w:themeTint="99"/>
        <w:insideV w:val="single" w:sz="4" w:space="0" w:color="FC7E55" w:themeColor="accent2" w:themeTint="99"/>
      </w:tblBorders>
    </w:tblPr>
    <w:tblStylePr w:type="firstRow">
      <w:rPr>
        <w:b/>
        <w:bCs/>
        <w:color w:val="FFFFFF" w:themeColor="background1"/>
      </w:rPr>
      <w:tblPr/>
      <w:tcPr>
        <w:tcBorders>
          <w:top w:val="single" w:sz="4" w:space="0" w:color="DC3903" w:themeColor="accent2"/>
          <w:left w:val="single" w:sz="4" w:space="0" w:color="DC3903" w:themeColor="accent2"/>
          <w:bottom w:val="single" w:sz="4" w:space="0" w:color="DC3903" w:themeColor="accent2"/>
          <w:right w:val="single" w:sz="4" w:space="0" w:color="DC3903" w:themeColor="accent2"/>
          <w:insideH w:val="nil"/>
          <w:insideV w:val="nil"/>
        </w:tcBorders>
        <w:shd w:val="clear" w:color="auto" w:fill="DC3903" w:themeFill="accent2"/>
      </w:tcPr>
    </w:tblStylePr>
    <w:tblStylePr w:type="lastRow">
      <w:rPr>
        <w:b/>
        <w:bCs/>
      </w:rPr>
      <w:tblPr/>
      <w:tcPr>
        <w:tcBorders>
          <w:top w:val="double" w:sz="4" w:space="0" w:color="DC3903" w:themeColor="accent2"/>
        </w:tcBorders>
      </w:tcPr>
    </w:tblStylePr>
    <w:tblStylePr w:type="firstCol">
      <w:rPr>
        <w:b/>
        <w:bCs/>
      </w:rPr>
    </w:tblStylePr>
    <w:tblStylePr w:type="lastCol">
      <w:rPr>
        <w:b/>
        <w:bCs/>
      </w:rPr>
    </w:tblStylePr>
    <w:tblStylePr w:type="band1Vert">
      <w:tblPr/>
      <w:tcPr>
        <w:shd w:val="clear" w:color="auto" w:fill="FED3C6" w:themeFill="accent2" w:themeFillTint="33"/>
      </w:tcPr>
    </w:tblStylePr>
    <w:tblStylePr w:type="band1Horz">
      <w:tblPr/>
      <w:tcPr>
        <w:shd w:val="clear" w:color="auto" w:fill="FED3C6" w:themeFill="accent2" w:themeFillTint="33"/>
      </w:tcPr>
    </w:tblStylePr>
  </w:style>
  <w:style w:type="table" w:styleId="GridTable4-Accent3">
    <w:name w:val="Grid Table 4 Accent 3"/>
    <w:basedOn w:val="TableNormal"/>
    <w:uiPriority w:val="49"/>
    <w:rsid w:val="0057062A"/>
    <w:pPr>
      <w:spacing w:after="0" w:line="240" w:lineRule="auto"/>
    </w:p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insideV w:val="nil"/>
        </w:tcBorders>
        <w:shd w:val="clear" w:color="auto" w:fill="2688FE" w:themeFill="accent3"/>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4-Accent4">
    <w:name w:val="Grid Table 4 Accent 4"/>
    <w:basedOn w:val="TableNormal"/>
    <w:uiPriority w:val="49"/>
    <w:rsid w:val="0057062A"/>
    <w:pPr>
      <w:spacing w:after="0" w:line="240" w:lineRule="auto"/>
    </w:p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insideV w:val="nil"/>
        </w:tcBorders>
        <w:shd w:val="clear" w:color="auto" w:fill="FDAB07" w:themeFill="accent4"/>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4-Accent5">
    <w:name w:val="Grid Table 4 Accent 5"/>
    <w:basedOn w:val="TableNormal"/>
    <w:uiPriority w:val="49"/>
    <w:rsid w:val="0057062A"/>
    <w:pPr>
      <w:spacing w:after="0" w:line="240" w:lineRule="auto"/>
    </w:p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insideV w:val="nil"/>
        </w:tcBorders>
        <w:shd w:val="clear" w:color="auto" w:fill="DC165D" w:themeFill="accent5"/>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4-Accent6">
    <w:name w:val="Grid Table 4 Accent 6"/>
    <w:basedOn w:val="TableNormal"/>
    <w:uiPriority w:val="49"/>
    <w:rsid w:val="0057062A"/>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insideV w:val="nil"/>
        </w:tcBorders>
        <w:shd w:val="clear" w:color="auto" w:fill="7030A0" w:themeFill="accent6"/>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5Dark">
    <w:name w:val="Grid Table 5 Dark"/>
    <w:basedOn w:val="TableNormal"/>
    <w:uiPriority w:val="50"/>
    <w:rsid w:val="005706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06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FD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13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13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13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139" w:themeFill="accent1"/>
      </w:tcPr>
    </w:tblStylePr>
    <w:tblStylePr w:type="band1Vert">
      <w:tblPr/>
      <w:tcPr>
        <w:shd w:val="clear" w:color="auto" w:fill="66FFA9" w:themeFill="accent1" w:themeFillTint="66"/>
      </w:tcPr>
    </w:tblStylePr>
    <w:tblStylePr w:type="band1Horz">
      <w:tblPr/>
      <w:tcPr>
        <w:shd w:val="clear" w:color="auto" w:fill="66FFA9" w:themeFill="accent1" w:themeFillTint="66"/>
      </w:tcPr>
    </w:tblStylePr>
  </w:style>
  <w:style w:type="table" w:styleId="GridTable5Dark-Accent2">
    <w:name w:val="Grid Table 5 Dark Accent 2"/>
    <w:basedOn w:val="TableNormal"/>
    <w:uiPriority w:val="50"/>
    <w:rsid w:val="005706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3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390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390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390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3903" w:themeFill="accent2"/>
      </w:tcPr>
    </w:tblStylePr>
    <w:tblStylePr w:type="band1Vert">
      <w:tblPr/>
      <w:tcPr>
        <w:shd w:val="clear" w:color="auto" w:fill="FDA98D" w:themeFill="accent2" w:themeFillTint="66"/>
      </w:tcPr>
    </w:tblStylePr>
    <w:tblStylePr w:type="band1Horz">
      <w:tblPr/>
      <w:tcPr>
        <w:shd w:val="clear" w:color="auto" w:fill="FDA98D" w:themeFill="accent2" w:themeFillTint="66"/>
      </w:tcPr>
    </w:tblStylePr>
  </w:style>
  <w:style w:type="table" w:styleId="GridTable5Dark-Accent3">
    <w:name w:val="Grid Table 5 Dark Accent 3"/>
    <w:basedOn w:val="TableNormal"/>
    <w:uiPriority w:val="50"/>
    <w:rsid w:val="005706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7F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8F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8F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8F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8FE" w:themeFill="accent3"/>
      </w:tcPr>
    </w:tblStylePr>
    <w:tblStylePr w:type="band1Vert">
      <w:tblPr/>
      <w:tcPr>
        <w:shd w:val="clear" w:color="auto" w:fill="A8CFFE" w:themeFill="accent3" w:themeFillTint="66"/>
      </w:tcPr>
    </w:tblStylePr>
    <w:tblStylePr w:type="band1Horz">
      <w:tblPr/>
      <w:tcPr>
        <w:shd w:val="clear" w:color="auto" w:fill="A8CFFE" w:themeFill="accent3" w:themeFillTint="66"/>
      </w:tcPr>
    </w:tblStylePr>
  </w:style>
  <w:style w:type="table" w:styleId="GridTable5Dark-Accent4">
    <w:name w:val="Grid Table 5 Dark Accent 4"/>
    <w:basedOn w:val="TableNormal"/>
    <w:uiPriority w:val="50"/>
    <w:rsid w:val="005706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E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AB0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AB0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DAB0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DAB07" w:themeFill="accent4"/>
      </w:tcPr>
    </w:tblStylePr>
    <w:tblStylePr w:type="band1Vert">
      <w:tblPr/>
      <w:tcPr>
        <w:shd w:val="clear" w:color="auto" w:fill="FEDD9B" w:themeFill="accent4" w:themeFillTint="66"/>
      </w:tcPr>
    </w:tblStylePr>
    <w:tblStylePr w:type="band1Horz">
      <w:tblPr/>
      <w:tcPr>
        <w:shd w:val="clear" w:color="auto" w:fill="FEDD9B" w:themeFill="accent4" w:themeFillTint="66"/>
      </w:tcPr>
    </w:tblStylePr>
  </w:style>
  <w:style w:type="table" w:styleId="GridTable5Dark-Accent5">
    <w:name w:val="Grid Table 5 Dark Accent 5"/>
    <w:basedOn w:val="TableNormal"/>
    <w:uiPriority w:val="50"/>
    <w:rsid w:val="005706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ED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165D"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165D"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165D"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165D" w:themeFill="accent5"/>
      </w:tcPr>
    </w:tblStylePr>
    <w:tblStylePr w:type="band1Vert">
      <w:tblPr/>
      <w:tcPr>
        <w:shd w:val="clear" w:color="auto" w:fill="F59DBC" w:themeFill="accent5" w:themeFillTint="66"/>
      </w:tcPr>
    </w:tblStylePr>
    <w:tblStylePr w:type="band1Horz">
      <w:tblPr/>
      <w:tcPr>
        <w:shd w:val="clear" w:color="auto" w:fill="F59DBC" w:themeFill="accent5" w:themeFillTint="66"/>
      </w:tcPr>
    </w:tblStylePr>
  </w:style>
  <w:style w:type="table" w:styleId="GridTable5Dark-Accent6">
    <w:name w:val="Grid Table 5 Dark Accent 6"/>
    <w:basedOn w:val="TableNormal"/>
    <w:uiPriority w:val="50"/>
    <w:rsid w:val="0057062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D0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30A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30A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30A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30A0" w:themeFill="accent6"/>
      </w:tcPr>
    </w:tblStylePr>
    <w:tblStylePr w:type="band1Vert">
      <w:tblPr/>
      <w:tcPr>
        <w:shd w:val="clear" w:color="auto" w:fill="C6A1E3" w:themeFill="accent6" w:themeFillTint="66"/>
      </w:tcPr>
    </w:tblStylePr>
    <w:tblStylePr w:type="band1Horz">
      <w:tblPr/>
      <w:tcPr>
        <w:shd w:val="clear" w:color="auto" w:fill="C6A1E3" w:themeFill="accent6" w:themeFillTint="66"/>
      </w:tcPr>
    </w:tblStylePr>
  </w:style>
  <w:style w:type="table" w:styleId="GridTable6Colorful">
    <w:name w:val="Grid Table 6 Colorful"/>
    <w:basedOn w:val="TableNormal"/>
    <w:uiPriority w:val="51"/>
    <w:rsid w:val="0057062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062A"/>
    <w:pPr>
      <w:spacing w:after="0" w:line="240" w:lineRule="auto"/>
    </w:pPr>
    <w:rPr>
      <w:color w:val="00602A" w:themeColor="accent1" w:themeShade="BF"/>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bottom w:val="single" w:sz="12" w:space="0" w:color="1AFF7E" w:themeColor="accent1" w:themeTint="99"/>
        </w:tcBorders>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GridTable6Colorful-Accent2">
    <w:name w:val="Grid Table 6 Colorful Accent 2"/>
    <w:basedOn w:val="TableNormal"/>
    <w:uiPriority w:val="51"/>
    <w:rsid w:val="0057062A"/>
    <w:pPr>
      <w:spacing w:after="0" w:line="240" w:lineRule="auto"/>
    </w:pPr>
    <w:rPr>
      <w:color w:val="A42A02" w:themeColor="accent2" w:themeShade="BF"/>
    </w:rPr>
    <w:tblPr>
      <w:tblStyleRowBandSize w:val="1"/>
      <w:tblStyleColBandSize w:val="1"/>
      <w:tblBorders>
        <w:top w:val="single" w:sz="4" w:space="0" w:color="FC7E55" w:themeColor="accent2" w:themeTint="99"/>
        <w:left w:val="single" w:sz="4" w:space="0" w:color="FC7E55" w:themeColor="accent2" w:themeTint="99"/>
        <w:bottom w:val="single" w:sz="4" w:space="0" w:color="FC7E55" w:themeColor="accent2" w:themeTint="99"/>
        <w:right w:val="single" w:sz="4" w:space="0" w:color="FC7E55" w:themeColor="accent2" w:themeTint="99"/>
        <w:insideH w:val="single" w:sz="4" w:space="0" w:color="FC7E55" w:themeColor="accent2" w:themeTint="99"/>
        <w:insideV w:val="single" w:sz="4" w:space="0" w:color="FC7E55" w:themeColor="accent2" w:themeTint="99"/>
      </w:tblBorders>
    </w:tblPr>
    <w:tblStylePr w:type="firstRow">
      <w:rPr>
        <w:b/>
        <w:bCs/>
      </w:rPr>
      <w:tblPr/>
      <w:tcPr>
        <w:tcBorders>
          <w:bottom w:val="single" w:sz="12" w:space="0" w:color="FC7E55" w:themeColor="accent2" w:themeTint="99"/>
        </w:tcBorders>
      </w:tcPr>
    </w:tblStylePr>
    <w:tblStylePr w:type="lastRow">
      <w:rPr>
        <w:b/>
        <w:bCs/>
      </w:rPr>
      <w:tblPr/>
      <w:tcPr>
        <w:tcBorders>
          <w:top w:val="double" w:sz="4" w:space="0" w:color="FC7E55" w:themeColor="accent2" w:themeTint="99"/>
        </w:tcBorders>
      </w:tcPr>
    </w:tblStylePr>
    <w:tblStylePr w:type="firstCol">
      <w:rPr>
        <w:b/>
        <w:bCs/>
      </w:rPr>
    </w:tblStylePr>
    <w:tblStylePr w:type="lastCol">
      <w:rPr>
        <w:b/>
        <w:bCs/>
      </w:rPr>
    </w:tblStylePr>
    <w:tblStylePr w:type="band1Vert">
      <w:tblPr/>
      <w:tcPr>
        <w:shd w:val="clear" w:color="auto" w:fill="FED3C6" w:themeFill="accent2" w:themeFillTint="33"/>
      </w:tcPr>
    </w:tblStylePr>
    <w:tblStylePr w:type="band1Horz">
      <w:tblPr/>
      <w:tcPr>
        <w:shd w:val="clear" w:color="auto" w:fill="FED3C6" w:themeFill="accent2" w:themeFillTint="33"/>
      </w:tcPr>
    </w:tblStylePr>
  </w:style>
  <w:style w:type="table" w:styleId="GridTable6Colorful-Accent3">
    <w:name w:val="Grid Table 6 Colorful Accent 3"/>
    <w:basedOn w:val="TableNormal"/>
    <w:uiPriority w:val="51"/>
    <w:rsid w:val="0057062A"/>
    <w:pPr>
      <w:spacing w:after="0" w:line="240" w:lineRule="auto"/>
    </w:pPr>
    <w:rPr>
      <w:color w:val="0162D9" w:themeColor="accent3" w:themeShade="BF"/>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bottom w:val="single" w:sz="12" w:space="0" w:color="7CB7FE" w:themeColor="accent3" w:themeTint="99"/>
        </w:tcBorders>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GridTable6Colorful-Accent4">
    <w:name w:val="Grid Table 6 Colorful Accent 4"/>
    <w:basedOn w:val="TableNormal"/>
    <w:uiPriority w:val="51"/>
    <w:rsid w:val="0057062A"/>
    <w:pPr>
      <w:spacing w:after="0" w:line="240" w:lineRule="auto"/>
    </w:pPr>
    <w:rPr>
      <w:color w:val="C18101" w:themeColor="accent4" w:themeShade="BF"/>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bottom w:val="single" w:sz="12" w:space="0" w:color="FDCC6A" w:themeColor="accent4" w:themeTint="99"/>
        </w:tcBorders>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GridTable6Colorful-Accent5">
    <w:name w:val="Grid Table 6 Colorful Accent 5"/>
    <w:basedOn w:val="TableNormal"/>
    <w:uiPriority w:val="51"/>
    <w:rsid w:val="0057062A"/>
    <w:pPr>
      <w:spacing w:after="0" w:line="240" w:lineRule="auto"/>
    </w:pPr>
    <w:rPr>
      <w:color w:val="A41045" w:themeColor="accent5" w:themeShade="BF"/>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bottom w:val="single" w:sz="12" w:space="0" w:color="F06C9B" w:themeColor="accent5" w:themeTint="99"/>
        </w:tcBorders>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GridTable6Colorful-Accent6">
    <w:name w:val="Grid Table 6 Colorful Accent 6"/>
    <w:basedOn w:val="TableNormal"/>
    <w:uiPriority w:val="51"/>
    <w:rsid w:val="0057062A"/>
    <w:pPr>
      <w:spacing w:after="0" w:line="240" w:lineRule="auto"/>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bottom w:val="single" w:sz="12" w:space="0" w:color="AB73D5" w:themeColor="accent6" w:themeTint="99"/>
        </w:tcBorders>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GridTable7Colorful">
    <w:name w:val="Grid Table 7 Colorful"/>
    <w:basedOn w:val="TableNormal"/>
    <w:uiPriority w:val="52"/>
    <w:rsid w:val="0057062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7062A"/>
    <w:pPr>
      <w:spacing w:after="0" w:line="240" w:lineRule="auto"/>
    </w:pPr>
    <w:rPr>
      <w:color w:val="00602A" w:themeColor="accent1" w:themeShade="BF"/>
    </w:r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insideV w:val="single" w:sz="4" w:space="0" w:color="1AFF7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bottom w:val="single" w:sz="4" w:space="0" w:color="1AFF7E" w:themeColor="accent1" w:themeTint="99"/>
        </w:tcBorders>
      </w:tcPr>
    </w:tblStylePr>
    <w:tblStylePr w:type="nwCell">
      <w:tblPr/>
      <w:tcPr>
        <w:tcBorders>
          <w:bottom w:val="single" w:sz="4" w:space="0" w:color="1AFF7E" w:themeColor="accent1" w:themeTint="99"/>
        </w:tcBorders>
      </w:tcPr>
    </w:tblStylePr>
    <w:tblStylePr w:type="seCell">
      <w:tblPr/>
      <w:tcPr>
        <w:tcBorders>
          <w:top w:val="single" w:sz="4" w:space="0" w:color="1AFF7E" w:themeColor="accent1" w:themeTint="99"/>
        </w:tcBorders>
      </w:tcPr>
    </w:tblStylePr>
    <w:tblStylePr w:type="swCell">
      <w:tblPr/>
      <w:tcPr>
        <w:tcBorders>
          <w:top w:val="single" w:sz="4" w:space="0" w:color="1AFF7E" w:themeColor="accent1" w:themeTint="99"/>
        </w:tcBorders>
      </w:tcPr>
    </w:tblStylePr>
  </w:style>
  <w:style w:type="table" w:styleId="GridTable7Colorful-Accent2">
    <w:name w:val="Grid Table 7 Colorful Accent 2"/>
    <w:basedOn w:val="TableNormal"/>
    <w:uiPriority w:val="52"/>
    <w:rsid w:val="0057062A"/>
    <w:pPr>
      <w:spacing w:after="0" w:line="240" w:lineRule="auto"/>
    </w:pPr>
    <w:rPr>
      <w:color w:val="A42A02" w:themeColor="accent2" w:themeShade="BF"/>
    </w:rPr>
    <w:tblPr>
      <w:tblStyleRowBandSize w:val="1"/>
      <w:tblStyleColBandSize w:val="1"/>
      <w:tblBorders>
        <w:top w:val="single" w:sz="4" w:space="0" w:color="FC7E55" w:themeColor="accent2" w:themeTint="99"/>
        <w:left w:val="single" w:sz="4" w:space="0" w:color="FC7E55" w:themeColor="accent2" w:themeTint="99"/>
        <w:bottom w:val="single" w:sz="4" w:space="0" w:color="FC7E55" w:themeColor="accent2" w:themeTint="99"/>
        <w:right w:val="single" w:sz="4" w:space="0" w:color="FC7E55" w:themeColor="accent2" w:themeTint="99"/>
        <w:insideH w:val="single" w:sz="4" w:space="0" w:color="FC7E55" w:themeColor="accent2" w:themeTint="99"/>
        <w:insideV w:val="single" w:sz="4" w:space="0" w:color="FC7E5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3C6" w:themeFill="accent2" w:themeFillTint="33"/>
      </w:tcPr>
    </w:tblStylePr>
    <w:tblStylePr w:type="band1Horz">
      <w:tblPr/>
      <w:tcPr>
        <w:shd w:val="clear" w:color="auto" w:fill="FED3C6" w:themeFill="accent2" w:themeFillTint="33"/>
      </w:tcPr>
    </w:tblStylePr>
    <w:tblStylePr w:type="neCell">
      <w:tblPr/>
      <w:tcPr>
        <w:tcBorders>
          <w:bottom w:val="single" w:sz="4" w:space="0" w:color="FC7E55" w:themeColor="accent2" w:themeTint="99"/>
        </w:tcBorders>
      </w:tcPr>
    </w:tblStylePr>
    <w:tblStylePr w:type="nwCell">
      <w:tblPr/>
      <w:tcPr>
        <w:tcBorders>
          <w:bottom w:val="single" w:sz="4" w:space="0" w:color="FC7E55" w:themeColor="accent2" w:themeTint="99"/>
        </w:tcBorders>
      </w:tcPr>
    </w:tblStylePr>
    <w:tblStylePr w:type="seCell">
      <w:tblPr/>
      <w:tcPr>
        <w:tcBorders>
          <w:top w:val="single" w:sz="4" w:space="0" w:color="FC7E55" w:themeColor="accent2" w:themeTint="99"/>
        </w:tcBorders>
      </w:tcPr>
    </w:tblStylePr>
    <w:tblStylePr w:type="swCell">
      <w:tblPr/>
      <w:tcPr>
        <w:tcBorders>
          <w:top w:val="single" w:sz="4" w:space="0" w:color="FC7E55" w:themeColor="accent2" w:themeTint="99"/>
        </w:tcBorders>
      </w:tcPr>
    </w:tblStylePr>
  </w:style>
  <w:style w:type="table" w:styleId="GridTable7Colorful-Accent3">
    <w:name w:val="Grid Table 7 Colorful Accent 3"/>
    <w:basedOn w:val="TableNormal"/>
    <w:uiPriority w:val="52"/>
    <w:rsid w:val="0057062A"/>
    <w:pPr>
      <w:spacing w:after="0" w:line="240" w:lineRule="auto"/>
    </w:pPr>
    <w:rPr>
      <w:color w:val="0162D9" w:themeColor="accent3" w:themeShade="BF"/>
    </w:r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insideV w:val="single" w:sz="4" w:space="0" w:color="7CB7F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bottom w:val="single" w:sz="4" w:space="0" w:color="7CB7FE" w:themeColor="accent3" w:themeTint="99"/>
        </w:tcBorders>
      </w:tcPr>
    </w:tblStylePr>
    <w:tblStylePr w:type="nwCell">
      <w:tblPr/>
      <w:tcPr>
        <w:tcBorders>
          <w:bottom w:val="single" w:sz="4" w:space="0" w:color="7CB7FE" w:themeColor="accent3" w:themeTint="99"/>
        </w:tcBorders>
      </w:tcPr>
    </w:tblStylePr>
    <w:tblStylePr w:type="seCell">
      <w:tblPr/>
      <w:tcPr>
        <w:tcBorders>
          <w:top w:val="single" w:sz="4" w:space="0" w:color="7CB7FE" w:themeColor="accent3" w:themeTint="99"/>
        </w:tcBorders>
      </w:tcPr>
    </w:tblStylePr>
    <w:tblStylePr w:type="swCell">
      <w:tblPr/>
      <w:tcPr>
        <w:tcBorders>
          <w:top w:val="single" w:sz="4" w:space="0" w:color="7CB7FE" w:themeColor="accent3" w:themeTint="99"/>
        </w:tcBorders>
      </w:tcPr>
    </w:tblStylePr>
  </w:style>
  <w:style w:type="table" w:styleId="GridTable7Colorful-Accent4">
    <w:name w:val="Grid Table 7 Colorful Accent 4"/>
    <w:basedOn w:val="TableNormal"/>
    <w:uiPriority w:val="52"/>
    <w:rsid w:val="0057062A"/>
    <w:pPr>
      <w:spacing w:after="0" w:line="240" w:lineRule="auto"/>
    </w:pPr>
    <w:rPr>
      <w:color w:val="C18101" w:themeColor="accent4" w:themeShade="BF"/>
    </w:r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insideV w:val="single" w:sz="4" w:space="0" w:color="FDCC6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bottom w:val="single" w:sz="4" w:space="0" w:color="FDCC6A" w:themeColor="accent4" w:themeTint="99"/>
        </w:tcBorders>
      </w:tcPr>
    </w:tblStylePr>
    <w:tblStylePr w:type="nwCell">
      <w:tblPr/>
      <w:tcPr>
        <w:tcBorders>
          <w:bottom w:val="single" w:sz="4" w:space="0" w:color="FDCC6A" w:themeColor="accent4" w:themeTint="99"/>
        </w:tcBorders>
      </w:tcPr>
    </w:tblStylePr>
    <w:tblStylePr w:type="seCell">
      <w:tblPr/>
      <w:tcPr>
        <w:tcBorders>
          <w:top w:val="single" w:sz="4" w:space="0" w:color="FDCC6A" w:themeColor="accent4" w:themeTint="99"/>
        </w:tcBorders>
      </w:tcPr>
    </w:tblStylePr>
    <w:tblStylePr w:type="swCell">
      <w:tblPr/>
      <w:tcPr>
        <w:tcBorders>
          <w:top w:val="single" w:sz="4" w:space="0" w:color="FDCC6A" w:themeColor="accent4" w:themeTint="99"/>
        </w:tcBorders>
      </w:tcPr>
    </w:tblStylePr>
  </w:style>
  <w:style w:type="table" w:styleId="GridTable7Colorful-Accent5">
    <w:name w:val="Grid Table 7 Colorful Accent 5"/>
    <w:basedOn w:val="TableNormal"/>
    <w:uiPriority w:val="52"/>
    <w:rsid w:val="0057062A"/>
    <w:pPr>
      <w:spacing w:after="0" w:line="240" w:lineRule="auto"/>
    </w:pPr>
    <w:rPr>
      <w:color w:val="A41045" w:themeColor="accent5" w:themeShade="BF"/>
    </w:r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insideV w:val="single" w:sz="4" w:space="0" w:color="F06C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bottom w:val="single" w:sz="4" w:space="0" w:color="F06C9B" w:themeColor="accent5" w:themeTint="99"/>
        </w:tcBorders>
      </w:tcPr>
    </w:tblStylePr>
    <w:tblStylePr w:type="nwCell">
      <w:tblPr/>
      <w:tcPr>
        <w:tcBorders>
          <w:bottom w:val="single" w:sz="4" w:space="0" w:color="F06C9B" w:themeColor="accent5" w:themeTint="99"/>
        </w:tcBorders>
      </w:tcPr>
    </w:tblStylePr>
    <w:tblStylePr w:type="seCell">
      <w:tblPr/>
      <w:tcPr>
        <w:tcBorders>
          <w:top w:val="single" w:sz="4" w:space="0" w:color="F06C9B" w:themeColor="accent5" w:themeTint="99"/>
        </w:tcBorders>
      </w:tcPr>
    </w:tblStylePr>
    <w:tblStylePr w:type="swCell">
      <w:tblPr/>
      <w:tcPr>
        <w:tcBorders>
          <w:top w:val="single" w:sz="4" w:space="0" w:color="F06C9B" w:themeColor="accent5" w:themeTint="99"/>
        </w:tcBorders>
      </w:tcPr>
    </w:tblStylePr>
  </w:style>
  <w:style w:type="table" w:styleId="GridTable7Colorful-Accent6">
    <w:name w:val="Grid Table 7 Colorful Accent 6"/>
    <w:basedOn w:val="TableNormal"/>
    <w:uiPriority w:val="52"/>
    <w:rsid w:val="0057062A"/>
    <w:pPr>
      <w:spacing w:after="0" w:line="240" w:lineRule="auto"/>
    </w:pPr>
    <w:rPr>
      <w:color w:val="532477" w:themeColor="accent6" w:themeShade="BF"/>
    </w:r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insideV w:val="single" w:sz="4" w:space="0" w:color="AB73D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bottom w:val="single" w:sz="4" w:space="0" w:color="AB73D5" w:themeColor="accent6" w:themeTint="99"/>
        </w:tcBorders>
      </w:tcPr>
    </w:tblStylePr>
    <w:tblStylePr w:type="nwCell">
      <w:tblPr/>
      <w:tcPr>
        <w:tcBorders>
          <w:bottom w:val="single" w:sz="4" w:space="0" w:color="AB73D5" w:themeColor="accent6" w:themeTint="99"/>
        </w:tcBorders>
      </w:tcPr>
    </w:tblStylePr>
    <w:tblStylePr w:type="seCell">
      <w:tblPr/>
      <w:tcPr>
        <w:tcBorders>
          <w:top w:val="single" w:sz="4" w:space="0" w:color="AB73D5" w:themeColor="accent6" w:themeTint="99"/>
        </w:tcBorders>
      </w:tcPr>
    </w:tblStylePr>
    <w:tblStylePr w:type="swCell">
      <w:tblPr/>
      <w:tcPr>
        <w:tcBorders>
          <w:top w:val="single" w:sz="4" w:space="0" w:color="AB73D5" w:themeColor="accent6" w:themeTint="99"/>
        </w:tcBorders>
      </w:tcPr>
    </w:tblStylePr>
  </w:style>
  <w:style w:type="table" w:styleId="LightGrid">
    <w:name w:val="Light Grid"/>
    <w:basedOn w:val="TableNormal"/>
    <w:uiPriority w:val="62"/>
    <w:semiHidden/>
    <w:unhideWhenUsed/>
    <w:rsid w:val="0057062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062A"/>
    <w:pPr>
      <w:spacing w:after="0" w:line="240" w:lineRule="auto"/>
    </w:p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18" w:space="0" w:color="008139" w:themeColor="accent1"/>
          <w:right w:val="single" w:sz="8" w:space="0" w:color="008139" w:themeColor="accent1"/>
          <w:insideH w:val="nil"/>
          <w:insideV w:val="single" w:sz="8" w:space="0" w:color="00813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insideH w:val="nil"/>
          <w:insideV w:val="single" w:sz="8" w:space="0" w:color="00813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shd w:val="clear" w:color="auto" w:fill="A0FFCA" w:themeFill="accent1" w:themeFillTint="3F"/>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shd w:val="clear" w:color="auto" w:fill="A0FFCA" w:themeFill="accent1" w:themeFillTint="3F"/>
      </w:tcPr>
    </w:tblStylePr>
    <w:tblStylePr w:type="band2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insideV w:val="single" w:sz="8" w:space="0" w:color="008139" w:themeColor="accent1"/>
        </w:tcBorders>
      </w:tcPr>
    </w:tblStylePr>
  </w:style>
  <w:style w:type="table" w:styleId="LightGrid-Accent2">
    <w:name w:val="Light Grid Accent 2"/>
    <w:basedOn w:val="TableNormal"/>
    <w:uiPriority w:val="62"/>
    <w:semiHidden/>
    <w:unhideWhenUsed/>
    <w:rsid w:val="0057062A"/>
    <w:pPr>
      <w:spacing w:after="0" w:line="240" w:lineRule="auto"/>
    </w:pPr>
    <w:tblPr>
      <w:tblStyleRowBandSize w:val="1"/>
      <w:tblStyleColBandSize w:val="1"/>
      <w:tblBorders>
        <w:top w:val="single" w:sz="8" w:space="0" w:color="DC3903" w:themeColor="accent2"/>
        <w:left w:val="single" w:sz="8" w:space="0" w:color="DC3903" w:themeColor="accent2"/>
        <w:bottom w:val="single" w:sz="8" w:space="0" w:color="DC3903" w:themeColor="accent2"/>
        <w:right w:val="single" w:sz="8" w:space="0" w:color="DC3903" w:themeColor="accent2"/>
        <w:insideH w:val="single" w:sz="8" w:space="0" w:color="DC3903" w:themeColor="accent2"/>
        <w:insideV w:val="single" w:sz="8" w:space="0" w:color="DC390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3903" w:themeColor="accent2"/>
          <w:left w:val="single" w:sz="8" w:space="0" w:color="DC3903" w:themeColor="accent2"/>
          <w:bottom w:val="single" w:sz="18" w:space="0" w:color="DC3903" w:themeColor="accent2"/>
          <w:right w:val="single" w:sz="8" w:space="0" w:color="DC3903" w:themeColor="accent2"/>
          <w:insideH w:val="nil"/>
          <w:insideV w:val="single" w:sz="8" w:space="0" w:color="DC390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3903" w:themeColor="accent2"/>
          <w:left w:val="single" w:sz="8" w:space="0" w:color="DC3903" w:themeColor="accent2"/>
          <w:bottom w:val="single" w:sz="8" w:space="0" w:color="DC3903" w:themeColor="accent2"/>
          <w:right w:val="single" w:sz="8" w:space="0" w:color="DC3903" w:themeColor="accent2"/>
          <w:insideH w:val="nil"/>
          <w:insideV w:val="single" w:sz="8" w:space="0" w:color="DC390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3903" w:themeColor="accent2"/>
          <w:left w:val="single" w:sz="8" w:space="0" w:color="DC3903" w:themeColor="accent2"/>
          <w:bottom w:val="single" w:sz="8" w:space="0" w:color="DC3903" w:themeColor="accent2"/>
          <w:right w:val="single" w:sz="8" w:space="0" w:color="DC3903" w:themeColor="accent2"/>
        </w:tcBorders>
      </w:tcPr>
    </w:tblStylePr>
    <w:tblStylePr w:type="band1Vert">
      <w:tblPr/>
      <w:tcPr>
        <w:tcBorders>
          <w:top w:val="single" w:sz="8" w:space="0" w:color="DC3903" w:themeColor="accent2"/>
          <w:left w:val="single" w:sz="8" w:space="0" w:color="DC3903" w:themeColor="accent2"/>
          <w:bottom w:val="single" w:sz="8" w:space="0" w:color="DC3903" w:themeColor="accent2"/>
          <w:right w:val="single" w:sz="8" w:space="0" w:color="DC3903" w:themeColor="accent2"/>
        </w:tcBorders>
        <w:shd w:val="clear" w:color="auto" w:fill="FEC9B8" w:themeFill="accent2" w:themeFillTint="3F"/>
      </w:tcPr>
    </w:tblStylePr>
    <w:tblStylePr w:type="band1Horz">
      <w:tblPr/>
      <w:tcPr>
        <w:tcBorders>
          <w:top w:val="single" w:sz="8" w:space="0" w:color="DC3903" w:themeColor="accent2"/>
          <w:left w:val="single" w:sz="8" w:space="0" w:color="DC3903" w:themeColor="accent2"/>
          <w:bottom w:val="single" w:sz="8" w:space="0" w:color="DC3903" w:themeColor="accent2"/>
          <w:right w:val="single" w:sz="8" w:space="0" w:color="DC3903" w:themeColor="accent2"/>
          <w:insideV w:val="single" w:sz="8" w:space="0" w:color="DC3903" w:themeColor="accent2"/>
        </w:tcBorders>
        <w:shd w:val="clear" w:color="auto" w:fill="FEC9B8" w:themeFill="accent2" w:themeFillTint="3F"/>
      </w:tcPr>
    </w:tblStylePr>
    <w:tblStylePr w:type="band2Horz">
      <w:tblPr/>
      <w:tcPr>
        <w:tcBorders>
          <w:top w:val="single" w:sz="8" w:space="0" w:color="DC3903" w:themeColor="accent2"/>
          <w:left w:val="single" w:sz="8" w:space="0" w:color="DC3903" w:themeColor="accent2"/>
          <w:bottom w:val="single" w:sz="8" w:space="0" w:color="DC3903" w:themeColor="accent2"/>
          <w:right w:val="single" w:sz="8" w:space="0" w:color="DC3903" w:themeColor="accent2"/>
          <w:insideV w:val="single" w:sz="8" w:space="0" w:color="DC3903" w:themeColor="accent2"/>
        </w:tcBorders>
      </w:tcPr>
    </w:tblStylePr>
  </w:style>
  <w:style w:type="table" w:styleId="LightGrid-Accent3">
    <w:name w:val="Light Grid Accent 3"/>
    <w:basedOn w:val="TableNormal"/>
    <w:uiPriority w:val="62"/>
    <w:semiHidden/>
    <w:unhideWhenUsed/>
    <w:rsid w:val="0057062A"/>
    <w:pPr>
      <w:spacing w:after="0" w:line="240" w:lineRule="auto"/>
    </w:p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18" w:space="0" w:color="2688FE" w:themeColor="accent3"/>
          <w:right w:val="single" w:sz="8" w:space="0" w:color="2688FE" w:themeColor="accent3"/>
          <w:insideH w:val="nil"/>
          <w:insideV w:val="single" w:sz="8" w:space="0" w:color="2688F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insideH w:val="nil"/>
          <w:insideV w:val="single" w:sz="8" w:space="0" w:color="2688F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shd w:val="clear" w:color="auto" w:fill="C9E1FE" w:themeFill="accent3" w:themeFillTint="3F"/>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shd w:val="clear" w:color="auto" w:fill="C9E1FE" w:themeFill="accent3" w:themeFillTint="3F"/>
      </w:tcPr>
    </w:tblStylePr>
    <w:tblStylePr w:type="band2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insideV w:val="single" w:sz="8" w:space="0" w:color="2688FE" w:themeColor="accent3"/>
        </w:tcBorders>
      </w:tcPr>
    </w:tblStylePr>
  </w:style>
  <w:style w:type="table" w:styleId="LightGrid-Accent4">
    <w:name w:val="Light Grid Accent 4"/>
    <w:basedOn w:val="TableNormal"/>
    <w:uiPriority w:val="62"/>
    <w:semiHidden/>
    <w:unhideWhenUsed/>
    <w:rsid w:val="0057062A"/>
    <w:pPr>
      <w:spacing w:after="0" w:line="240" w:lineRule="auto"/>
    </w:p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18" w:space="0" w:color="FDAB07" w:themeColor="accent4"/>
          <w:right w:val="single" w:sz="8" w:space="0" w:color="FDAB07" w:themeColor="accent4"/>
          <w:insideH w:val="nil"/>
          <w:insideV w:val="single" w:sz="8" w:space="0" w:color="FDAB0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insideH w:val="nil"/>
          <w:insideV w:val="single" w:sz="8" w:space="0" w:color="FDAB0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shd w:val="clear" w:color="auto" w:fill="FEEAC1" w:themeFill="accent4" w:themeFillTint="3F"/>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shd w:val="clear" w:color="auto" w:fill="FEEAC1" w:themeFill="accent4" w:themeFillTint="3F"/>
      </w:tcPr>
    </w:tblStylePr>
    <w:tblStylePr w:type="band2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insideV w:val="single" w:sz="8" w:space="0" w:color="FDAB07" w:themeColor="accent4"/>
        </w:tcBorders>
      </w:tcPr>
    </w:tblStylePr>
  </w:style>
  <w:style w:type="table" w:styleId="LightGrid-Accent5">
    <w:name w:val="Light Grid Accent 5"/>
    <w:basedOn w:val="TableNormal"/>
    <w:uiPriority w:val="62"/>
    <w:semiHidden/>
    <w:unhideWhenUsed/>
    <w:rsid w:val="0057062A"/>
    <w:pPr>
      <w:spacing w:after="0" w:line="240" w:lineRule="auto"/>
    </w:p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18" w:space="0" w:color="DC165D" w:themeColor="accent5"/>
          <w:right w:val="single" w:sz="8" w:space="0" w:color="DC165D" w:themeColor="accent5"/>
          <w:insideH w:val="nil"/>
          <w:insideV w:val="single" w:sz="8" w:space="0" w:color="DC165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insideH w:val="nil"/>
          <w:insideV w:val="single" w:sz="8" w:space="0" w:color="DC165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shd w:val="clear" w:color="auto" w:fill="F9C2D6" w:themeFill="accent5" w:themeFillTint="3F"/>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shd w:val="clear" w:color="auto" w:fill="F9C2D6" w:themeFill="accent5" w:themeFillTint="3F"/>
      </w:tcPr>
    </w:tblStylePr>
    <w:tblStylePr w:type="band2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insideV w:val="single" w:sz="8" w:space="0" w:color="DC165D" w:themeColor="accent5"/>
        </w:tcBorders>
      </w:tcPr>
    </w:tblStylePr>
  </w:style>
  <w:style w:type="table" w:styleId="LightGrid-Accent6">
    <w:name w:val="Light Grid Accent 6"/>
    <w:basedOn w:val="TableNormal"/>
    <w:uiPriority w:val="62"/>
    <w:semiHidden/>
    <w:unhideWhenUsed/>
    <w:rsid w:val="0057062A"/>
    <w:pPr>
      <w:spacing w:after="0" w:line="240" w:lineRule="auto"/>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18" w:space="0" w:color="7030A0" w:themeColor="accent6"/>
          <w:right w:val="single" w:sz="8" w:space="0" w:color="7030A0" w:themeColor="accent6"/>
          <w:insideH w:val="nil"/>
          <w:insideV w:val="single" w:sz="8" w:space="0" w:color="7030A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insideH w:val="nil"/>
          <w:insideV w:val="single" w:sz="8" w:space="0" w:color="7030A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shd w:val="clear" w:color="auto" w:fill="DCC5ED" w:themeFill="accent6" w:themeFillTint="3F"/>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shd w:val="clear" w:color="auto" w:fill="DCC5ED" w:themeFill="accent6" w:themeFillTint="3F"/>
      </w:tcPr>
    </w:tblStylePr>
    <w:tblStylePr w:type="band2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insideV w:val="single" w:sz="8" w:space="0" w:color="7030A0" w:themeColor="accent6"/>
        </w:tcBorders>
      </w:tcPr>
    </w:tblStylePr>
  </w:style>
  <w:style w:type="table" w:styleId="LightList">
    <w:name w:val="Light List"/>
    <w:basedOn w:val="TableNormal"/>
    <w:uiPriority w:val="61"/>
    <w:semiHidden/>
    <w:unhideWhenUsed/>
    <w:rsid w:val="0057062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062A"/>
    <w:pPr>
      <w:spacing w:after="0" w:line="240" w:lineRule="auto"/>
    </w:p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pPr>
        <w:spacing w:before="0" w:after="0" w:line="240" w:lineRule="auto"/>
      </w:pPr>
      <w:rPr>
        <w:b/>
        <w:bCs/>
        <w:color w:val="FFFFFF" w:themeColor="background1"/>
      </w:rPr>
      <w:tblPr/>
      <w:tcPr>
        <w:shd w:val="clear" w:color="auto" w:fill="008139" w:themeFill="accent1"/>
      </w:tcPr>
    </w:tblStylePr>
    <w:tblStylePr w:type="lastRow">
      <w:pPr>
        <w:spacing w:before="0" w:after="0" w:line="240" w:lineRule="auto"/>
      </w:pPr>
      <w:rPr>
        <w:b/>
        <w:bCs/>
      </w:rPr>
      <w:tblPr/>
      <w:tcPr>
        <w:tcBorders>
          <w:top w:val="double" w:sz="6" w:space="0" w:color="008139" w:themeColor="accent1"/>
          <w:left w:val="single" w:sz="8" w:space="0" w:color="008139" w:themeColor="accent1"/>
          <w:bottom w:val="single" w:sz="8" w:space="0" w:color="008139" w:themeColor="accent1"/>
          <w:right w:val="single" w:sz="8" w:space="0" w:color="008139" w:themeColor="accent1"/>
        </w:tcBorders>
      </w:tcPr>
    </w:tblStylePr>
    <w:tblStylePr w:type="firstCol">
      <w:rPr>
        <w:b/>
        <w:bCs/>
      </w:rPr>
    </w:tblStylePr>
    <w:tblStylePr w:type="lastCol">
      <w:rPr>
        <w:b/>
        <w:bCs/>
      </w:rPr>
    </w:tblStylePr>
    <w:tblStylePr w:type="band1Vert">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tblStylePr w:type="band1Horz">
      <w:tblPr/>
      <w:tcPr>
        <w:tcBorders>
          <w:top w:val="single" w:sz="8" w:space="0" w:color="008139" w:themeColor="accent1"/>
          <w:left w:val="single" w:sz="8" w:space="0" w:color="008139" w:themeColor="accent1"/>
          <w:bottom w:val="single" w:sz="8" w:space="0" w:color="008139" w:themeColor="accent1"/>
          <w:right w:val="single" w:sz="8" w:space="0" w:color="008139" w:themeColor="accent1"/>
        </w:tcBorders>
      </w:tcPr>
    </w:tblStylePr>
  </w:style>
  <w:style w:type="table" w:styleId="LightList-Accent2">
    <w:name w:val="Light List Accent 2"/>
    <w:basedOn w:val="TableNormal"/>
    <w:uiPriority w:val="61"/>
    <w:semiHidden/>
    <w:unhideWhenUsed/>
    <w:rsid w:val="0057062A"/>
    <w:pPr>
      <w:spacing w:after="0" w:line="240" w:lineRule="auto"/>
    </w:pPr>
    <w:tblPr>
      <w:tblStyleRowBandSize w:val="1"/>
      <w:tblStyleColBandSize w:val="1"/>
      <w:tblBorders>
        <w:top w:val="single" w:sz="8" w:space="0" w:color="DC3903" w:themeColor="accent2"/>
        <w:left w:val="single" w:sz="8" w:space="0" w:color="DC3903" w:themeColor="accent2"/>
        <w:bottom w:val="single" w:sz="8" w:space="0" w:color="DC3903" w:themeColor="accent2"/>
        <w:right w:val="single" w:sz="8" w:space="0" w:color="DC3903" w:themeColor="accent2"/>
      </w:tblBorders>
    </w:tblPr>
    <w:tblStylePr w:type="firstRow">
      <w:pPr>
        <w:spacing w:before="0" w:after="0" w:line="240" w:lineRule="auto"/>
      </w:pPr>
      <w:rPr>
        <w:b/>
        <w:bCs/>
        <w:color w:val="FFFFFF" w:themeColor="background1"/>
      </w:rPr>
      <w:tblPr/>
      <w:tcPr>
        <w:shd w:val="clear" w:color="auto" w:fill="DC3903" w:themeFill="accent2"/>
      </w:tcPr>
    </w:tblStylePr>
    <w:tblStylePr w:type="lastRow">
      <w:pPr>
        <w:spacing w:before="0" w:after="0" w:line="240" w:lineRule="auto"/>
      </w:pPr>
      <w:rPr>
        <w:b/>
        <w:bCs/>
      </w:rPr>
      <w:tblPr/>
      <w:tcPr>
        <w:tcBorders>
          <w:top w:val="double" w:sz="6" w:space="0" w:color="DC3903" w:themeColor="accent2"/>
          <w:left w:val="single" w:sz="8" w:space="0" w:color="DC3903" w:themeColor="accent2"/>
          <w:bottom w:val="single" w:sz="8" w:space="0" w:color="DC3903" w:themeColor="accent2"/>
          <w:right w:val="single" w:sz="8" w:space="0" w:color="DC3903" w:themeColor="accent2"/>
        </w:tcBorders>
      </w:tcPr>
    </w:tblStylePr>
    <w:tblStylePr w:type="firstCol">
      <w:rPr>
        <w:b/>
        <w:bCs/>
      </w:rPr>
    </w:tblStylePr>
    <w:tblStylePr w:type="lastCol">
      <w:rPr>
        <w:b/>
        <w:bCs/>
      </w:rPr>
    </w:tblStylePr>
    <w:tblStylePr w:type="band1Vert">
      <w:tblPr/>
      <w:tcPr>
        <w:tcBorders>
          <w:top w:val="single" w:sz="8" w:space="0" w:color="DC3903" w:themeColor="accent2"/>
          <w:left w:val="single" w:sz="8" w:space="0" w:color="DC3903" w:themeColor="accent2"/>
          <w:bottom w:val="single" w:sz="8" w:space="0" w:color="DC3903" w:themeColor="accent2"/>
          <w:right w:val="single" w:sz="8" w:space="0" w:color="DC3903" w:themeColor="accent2"/>
        </w:tcBorders>
      </w:tcPr>
    </w:tblStylePr>
    <w:tblStylePr w:type="band1Horz">
      <w:tblPr/>
      <w:tcPr>
        <w:tcBorders>
          <w:top w:val="single" w:sz="8" w:space="0" w:color="DC3903" w:themeColor="accent2"/>
          <w:left w:val="single" w:sz="8" w:space="0" w:color="DC3903" w:themeColor="accent2"/>
          <w:bottom w:val="single" w:sz="8" w:space="0" w:color="DC3903" w:themeColor="accent2"/>
          <w:right w:val="single" w:sz="8" w:space="0" w:color="DC3903" w:themeColor="accent2"/>
        </w:tcBorders>
      </w:tcPr>
    </w:tblStylePr>
  </w:style>
  <w:style w:type="table" w:styleId="LightList-Accent3">
    <w:name w:val="Light List Accent 3"/>
    <w:basedOn w:val="TableNormal"/>
    <w:uiPriority w:val="61"/>
    <w:semiHidden/>
    <w:unhideWhenUsed/>
    <w:rsid w:val="0057062A"/>
    <w:pPr>
      <w:spacing w:after="0" w:line="240" w:lineRule="auto"/>
    </w:p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pPr>
        <w:spacing w:before="0" w:after="0" w:line="240" w:lineRule="auto"/>
      </w:pPr>
      <w:rPr>
        <w:b/>
        <w:bCs/>
        <w:color w:val="FFFFFF" w:themeColor="background1"/>
      </w:rPr>
      <w:tblPr/>
      <w:tcPr>
        <w:shd w:val="clear" w:color="auto" w:fill="2688FE" w:themeFill="accent3"/>
      </w:tcPr>
    </w:tblStylePr>
    <w:tblStylePr w:type="lastRow">
      <w:pPr>
        <w:spacing w:before="0" w:after="0" w:line="240" w:lineRule="auto"/>
      </w:pPr>
      <w:rPr>
        <w:b/>
        <w:bCs/>
      </w:rPr>
      <w:tblPr/>
      <w:tcPr>
        <w:tcBorders>
          <w:top w:val="double" w:sz="6" w:space="0" w:color="2688FE" w:themeColor="accent3"/>
          <w:left w:val="single" w:sz="8" w:space="0" w:color="2688FE" w:themeColor="accent3"/>
          <w:bottom w:val="single" w:sz="8" w:space="0" w:color="2688FE" w:themeColor="accent3"/>
          <w:right w:val="single" w:sz="8" w:space="0" w:color="2688FE" w:themeColor="accent3"/>
        </w:tcBorders>
      </w:tcPr>
    </w:tblStylePr>
    <w:tblStylePr w:type="firstCol">
      <w:rPr>
        <w:b/>
        <w:bCs/>
      </w:rPr>
    </w:tblStylePr>
    <w:tblStylePr w:type="lastCol">
      <w:rPr>
        <w:b/>
        <w:bCs/>
      </w:rPr>
    </w:tblStylePr>
    <w:tblStylePr w:type="band1Vert">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tblStylePr w:type="band1Horz">
      <w:tblPr/>
      <w:tcPr>
        <w:tcBorders>
          <w:top w:val="single" w:sz="8" w:space="0" w:color="2688FE" w:themeColor="accent3"/>
          <w:left w:val="single" w:sz="8" w:space="0" w:color="2688FE" w:themeColor="accent3"/>
          <w:bottom w:val="single" w:sz="8" w:space="0" w:color="2688FE" w:themeColor="accent3"/>
          <w:right w:val="single" w:sz="8" w:space="0" w:color="2688FE" w:themeColor="accent3"/>
        </w:tcBorders>
      </w:tcPr>
    </w:tblStylePr>
  </w:style>
  <w:style w:type="table" w:styleId="LightList-Accent4">
    <w:name w:val="Light List Accent 4"/>
    <w:basedOn w:val="TableNormal"/>
    <w:uiPriority w:val="61"/>
    <w:semiHidden/>
    <w:unhideWhenUsed/>
    <w:rsid w:val="0057062A"/>
    <w:pPr>
      <w:spacing w:after="0" w:line="240" w:lineRule="auto"/>
    </w:p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pPr>
        <w:spacing w:before="0" w:after="0" w:line="240" w:lineRule="auto"/>
      </w:pPr>
      <w:rPr>
        <w:b/>
        <w:bCs/>
        <w:color w:val="FFFFFF" w:themeColor="background1"/>
      </w:rPr>
      <w:tblPr/>
      <w:tcPr>
        <w:shd w:val="clear" w:color="auto" w:fill="FDAB07" w:themeFill="accent4"/>
      </w:tcPr>
    </w:tblStylePr>
    <w:tblStylePr w:type="lastRow">
      <w:pPr>
        <w:spacing w:before="0" w:after="0" w:line="240" w:lineRule="auto"/>
      </w:pPr>
      <w:rPr>
        <w:b/>
        <w:bCs/>
      </w:rPr>
      <w:tblPr/>
      <w:tcPr>
        <w:tcBorders>
          <w:top w:val="double" w:sz="6" w:space="0" w:color="FDAB07" w:themeColor="accent4"/>
          <w:left w:val="single" w:sz="8" w:space="0" w:color="FDAB07" w:themeColor="accent4"/>
          <w:bottom w:val="single" w:sz="8" w:space="0" w:color="FDAB07" w:themeColor="accent4"/>
          <w:right w:val="single" w:sz="8" w:space="0" w:color="FDAB07" w:themeColor="accent4"/>
        </w:tcBorders>
      </w:tcPr>
    </w:tblStylePr>
    <w:tblStylePr w:type="firstCol">
      <w:rPr>
        <w:b/>
        <w:bCs/>
      </w:rPr>
    </w:tblStylePr>
    <w:tblStylePr w:type="lastCol">
      <w:rPr>
        <w:b/>
        <w:bCs/>
      </w:rPr>
    </w:tblStylePr>
    <w:tblStylePr w:type="band1Vert">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tblStylePr w:type="band1Horz">
      <w:tblPr/>
      <w:tcPr>
        <w:tcBorders>
          <w:top w:val="single" w:sz="8" w:space="0" w:color="FDAB07" w:themeColor="accent4"/>
          <w:left w:val="single" w:sz="8" w:space="0" w:color="FDAB07" w:themeColor="accent4"/>
          <w:bottom w:val="single" w:sz="8" w:space="0" w:color="FDAB07" w:themeColor="accent4"/>
          <w:right w:val="single" w:sz="8" w:space="0" w:color="FDAB07" w:themeColor="accent4"/>
        </w:tcBorders>
      </w:tcPr>
    </w:tblStylePr>
  </w:style>
  <w:style w:type="table" w:styleId="LightList-Accent5">
    <w:name w:val="Light List Accent 5"/>
    <w:basedOn w:val="TableNormal"/>
    <w:uiPriority w:val="61"/>
    <w:semiHidden/>
    <w:unhideWhenUsed/>
    <w:rsid w:val="0057062A"/>
    <w:pPr>
      <w:spacing w:after="0" w:line="240" w:lineRule="auto"/>
    </w:p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pPr>
        <w:spacing w:before="0" w:after="0" w:line="240" w:lineRule="auto"/>
      </w:pPr>
      <w:rPr>
        <w:b/>
        <w:bCs/>
        <w:color w:val="FFFFFF" w:themeColor="background1"/>
      </w:rPr>
      <w:tblPr/>
      <w:tcPr>
        <w:shd w:val="clear" w:color="auto" w:fill="DC165D" w:themeFill="accent5"/>
      </w:tcPr>
    </w:tblStylePr>
    <w:tblStylePr w:type="lastRow">
      <w:pPr>
        <w:spacing w:before="0" w:after="0" w:line="240" w:lineRule="auto"/>
      </w:pPr>
      <w:rPr>
        <w:b/>
        <w:bCs/>
      </w:rPr>
      <w:tblPr/>
      <w:tcPr>
        <w:tcBorders>
          <w:top w:val="double" w:sz="6" w:space="0" w:color="DC165D" w:themeColor="accent5"/>
          <w:left w:val="single" w:sz="8" w:space="0" w:color="DC165D" w:themeColor="accent5"/>
          <w:bottom w:val="single" w:sz="8" w:space="0" w:color="DC165D" w:themeColor="accent5"/>
          <w:right w:val="single" w:sz="8" w:space="0" w:color="DC165D" w:themeColor="accent5"/>
        </w:tcBorders>
      </w:tcPr>
    </w:tblStylePr>
    <w:tblStylePr w:type="firstCol">
      <w:rPr>
        <w:b/>
        <w:bCs/>
      </w:rPr>
    </w:tblStylePr>
    <w:tblStylePr w:type="lastCol">
      <w:rPr>
        <w:b/>
        <w:bCs/>
      </w:rPr>
    </w:tblStylePr>
    <w:tblStylePr w:type="band1Vert">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tblStylePr w:type="band1Horz">
      <w:tblPr/>
      <w:tcPr>
        <w:tcBorders>
          <w:top w:val="single" w:sz="8" w:space="0" w:color="DC165D" w:themeColor="accent5"/>
          <w:left w:val="single" w:sz="8" w:space="0" w:color="DC165D" w:themeColor="accent5"/>
          <w:bottom w:val="single" w:sz="8" w:space="0" w:color="DC165D" w:themeColor="accent5"/>
          <w:right w:val="single" w:sz="8" w:space="0" w:color="DC165D" w:themeColor="accent5"/>
        </w:tcBorders>
      </w:tcPr>
    </w:tblStylePr>
  </w:style>
  <w:style w:type="table" w:styleId="LightList-Accent6">
    <w:name w:val="Light List Accent 6"/>
    <w:basedOn w:val="TableNormal"/>
    <w:uiPriority w:val="61"/>
    <w:semiHidden/>
    <w:unhideWhenUsed/>
    <w:rsid w:val="0057062A"/>
    <w:pPr>
      <w:spacing w:after="0" w:line="240" w:lineRule="auto"/>
    </w:p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pPr>
        <w:spacing w:before="0" w:after="0" w:line="240" w:lineRule="auto"/>
      </w:pPr>
      <w:rPr>
        <w:b/>
        <w:bCs/>
        <w:color w:val="FFFFFF" w:themeColor="background1"/>
      </w:rPr>
      <w:tblPr/>
      <w:tcPr>
        <w:shd w:val="clear" w:color="auto" w:fill="7030A0" w:themeFill="accent6"/>
      </w:tcPr>
    </w:tblStylePr>
    <w:tblStylePr w:type="lastRow">
      <w:pPr>
        <w:spacing w:before="0" w:after="0" w:line="240" w:lineRule="auto"/>
      </w:pPr>
      <w:rPr>
        <w:b/>
        <w:bCs/>
      </w:rPr>
      <w:tblPr/>
      <w:tcPr>
        <w:tcBorders>
          <w:top w:val="double" w:sz="6" w:space="0" w:color="7030A0" w:themeColor="accent6"/>
          <w:left w:val="single" w:sz="8" w:space="0" w:color="7030A0" w:themeColor="accent6"/>
          <w:bottom w:val="single" w:sz="8" w:space="0" w:color="7030A0" w:themeColor="accent6"/>
          <w:right w:val="single" w:sz="8" w:space="0" w:color="7030A0" w:themeColor="accent6"/>
        </w:tcBorders>
      </w:tcPr>
    </w:tblStylePr>
    <w:tblStylePr w:type="firstCol">
      <w:rPr>
        <w:b/>
        <w:bCs/>
      </w:rPr>
    </w:tblStylePr>
    <w:tblStylePr w:type="lastCol">
      <w:rPr>
        <w:b/>
        <w:bCs/>
      </w:rPr>
    </w:tblStylePr>
    <w:tblStylePr w:type="band1Vert">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tblStylePr w:type="band1Horz">
      <w:tblPr/>
      <w:tcPr>
        <w:tcBorders>
          <w:top w:val="single" w:sz="8" w:space="0" w:color="7030A0" w:themeColor="accent6"/>
          <w:left w:val="single" w:sz="8" w:space="0" w:color="7030A0" w:themeColor="accent6"/>
          <w:bottom w:val="single" w:sz="8" w:space="0" w:color="7030A0" w:themeColor="accent6"/>
          <w:right w:val="single" w:sz="8" w:space="0" w:color="7030A0" w:themeColor="accent6"/>
        </w:tcBorders>
      </w:tcPr>
    </w:tblStylePr>
  </w:style>
  <w:style w:type="table" w:styleId="LightShading">
    <w:name w:val="Light Shading"/>
    <w:basedOn w:val="TableNormal"/>
    <w:uiPriority w:val="60"/>
    <w:semiHidden/>
    <w:unhideWhenUsed/>
    <w:rsid w:val="0057062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062A"/>
    <w:pPr>
      <w:spacing w:after="0" w:line="240" w:lineRule="auto"/>
    </w:pPr>
    <w:rPr>
      <w:color w:val="00602A" w:themeColor="accent1" w:themeShade="BF"/>
    </w:rPr>
    <w:tblPr>
      <w:tblStyleRowBandSize w:val="1"/>
      <w:tblStyleColBandSize w:val="1"/>
      <w:tblBorders>
        <w:top w:val="single" w:sz="8" w:space="0" w:color="008139" w:themeColor="accent1"/>
        <w:bottom w:val="single" w:sz="8" w:space="0" w:color="008139" w:themeColor="accent1"/>
      </w:tblBorders>
    </w:tblPr>
    <w:tblStylePr w:type="fir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lastRow">
      <w:pPr>
        <w:spacing w:before="0" w:after="0" w:line="240" w:lineRule="auto"/>
      </w:pPr>
      <w:rPr>
        <w:b/>
        <w:bCs/>
      </w:rPr>
      <w:tblPr/>
      <w:tcPr>
        <w:tcBorders>
          <w:top w:val="single" w:sz="8" w:space="0" w:color="008139" w:themeColor="accent1"/>
          <w:left w:val="nil"/>
          <w:bottom w:val="single" w:sz="8" w:space="0" w:color="00813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left w:val="nil"/>
          <w:right w:val="nil"/>
          <w:insideH w:val="nil"/>
          <w:insideV w:val="nil"/>
        </w:tcBorders>
        <w:shd w:val="clear" w:color="auto" w:fill="A0FFCA" w:themeFill="accent1" w:themeFillTint="3F"/>
      </w:tcPr>
    </w:tblStylePr>
  </w:style>
  <w:style w:type="table" w:styleId="LightShading-Accent2">
    <w:name w:val="Light Shading Accent 2"/>
    <w:basedOn w:val="TableNormal"/>
    <w:uiPriority w:val="60"/>
    <w:semiHidden/>
    <w:unhideWhenUsed/>
    <w:rsid w:val="0057062A"/>
    <w:pPr>
      <w:spacing w:after="0" w:line="240" w:lineRule="auto"/>
    </w:pPr>
    <w:rPr>
      <w:color w:val="A42A02" w:themeColor="accent2" w:themeShade="BF"/>
    </w:rPr>
    <w:tblPr>
      <w:tblStyleRowBandSize w:val="1"/>
      <w:tblStyleColBandSize w:val="1"/>
      <w:tblBorders>
        <w:top w:val="single" w:sz="8" w:space="0" w:color="DC3903" w:themeColor="accent2"/>
        <w:bottom w:val="single" w:sz="8" w:space="0" w:color="DC3903" w:themeColor="accent2"/>
      </w:tblBorders>
    </w:tblPr>
    <w:tblStylePr w:type="firstRow">
      <w:pPr>
        <w:spacing w:before="0" w:after="0" w:line="240" w:lineRule="auto"/>
      </w:pPr>
      <w:rPr>
        <w:b/>
        <w:bCs/>
      </w:rPr>
      <w:tblPr/>
      <w:tcPr>
        <w:tcBorders>
          <w:top w:val="single" w:sz="8" w:space="0" w:color="DC3903" w:themeColor="accent2"/>
          <w:left w:val="nil"/>
          <w:bottom w:val="single" w:sz="8" w:space="0" w:color="DC3903" w:themeColor="accent2"/>
          <w:right w:val="nil"/>
          <w:insideH w:val="nil"/>
          <w:insideV w:val="nil"/>
        </w:tcBorders>
      </w:tcPr>
    </w:tblStylePr>
    <w:tblStylePr w:type="lastRow">
      <w:pPr>
        <w:spacing w:before="0" w:after="0" w:line="240" w:lineRule="auto"/>
      </w:pPr>
      <w:rPr>
        <w:b/>
        <w:bCs/>
      </w:rPr>
      <w:tblPr/>
      <w:tcPr>
        <w:tcBorders>
          <w:top w:val="single" w:sz="8" w:space="0" w:color="DC3903" w:themeColor="accent2"/>
          <w:left w:val="nil"/>
          <w:bottom w:val="single" w:sz="8" w:space="0" w:color="DC390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C9B8" w:themeFill="accent2" w:themeFillTint="3F"/>
      </w:tcPr>
    </w:tblStylePr>
    <w:tblStylePr w:type="band1Horz">
      <w:tblPr/>
      <w:tcPr>
        <w:tcBorders>
          <w:left w:val="nil"/>
          <w:right w:val="nil"/>
          <w:insideH w:val="nil"/>
          <w:insideV w:val="nil"/>
        </w:tcBorders>
        <w:shd w:val="clear" w:color="auto" w:fill="FEC9B8" w:themeFill="accent2" w:themeFillTint="3F"/>
      </w:tcPr>
    </w:tblStylePr>
  </w:style>
  <w:style w:type="table" w:styleId="LightShading-Accent3">
    <w:name w:val="Light Shading Accent 3"/>
    <w:basedOn w:val="TableNormal"/>
    <w:uiPriority w:val="60"/>
    <w:semiHidden/>
    <w:unhideWhenUsed/>
    <w:rsid w:val="0057062A"/>
    <w:pPr>
      <w:spacing w:after="0" w:line="240" w:lineRule="auto"/>
    </w:pPr>
    <w:rPr>
      <w:color w:val="0162D9" w:themeColor="accent3" w:themeShade="BF"/>
    </w:rPr>
    <w:tblPr>
      <w:tblStyleRowBandSize w:val="1"/>
      <w:tblStyleColBandSize w:val="1"/>
      <w:tblBorders>
        <w:top w:val="single" w:sz="8" w:space="0" w:color="2688FE" w:themeColor="accent3"/>
        <w:bottom w:val="single" w:sz="8" w:space="0" w:color="2688FE" w:themeColor="accent3"/>
      </w:tblBorders>
    </w:tblPr>
    <w:tblStylePr w:type="fir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lastRow">
      <w:pPr>
        <w:spacing w:before="0" w:after="0" w:line="240" w:lineRule="auto"/>
      </w:pPr>
      <w:rPr>
        <w:b/>
        <w:bCs/>
      </w:rPr>
      <w:tblPr/>
      <w:tcPr>
        <w:tcBorders>
          <w:top w:val="single" w:sz="8" w:space="0" w:color="2688FE" w:themeColor="accent3"/>
          <w:left w:val="nil"/>
          <w:bottom w:val="single" w:sz="8" w:space="0" w:color="2688F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left w:val="nil"/>
          <w:right w:val="nil"/>
          <w:insideH w:val="nil"/>
          <w:insideV w:val="nil"/>
        </w:tcBorders>
        <w:shd w:val="clear" w:color="auto" w:fill="C9E1FE" w:themeFill="accent3" w:themeFillTint="3F"/>
      </w:tcPr>
    </w:tblStylePr>
  </w:style>
  <w:style w:type="table" w:styleId="LightShading-Accent4">
    <w:name w:val="Light Shading Accent 4"/>
    <w:basedOn w:val="TableNormal"/>
    <w:uiPriority w:val="60"/>
    <w:semiHidden/>
    <w:unhideWhenUsed/>
    <w:rsid w:val="0057062A"/>
    <w:pPr>
      <w:spacing w:after="0" w:line="240" w:lineRule="auto"/>
    </w:pPr>
    <w:rPr>
      <w:color w:val="C18101" w:themeColor="accent4" w:themeShade="BF"/>
    </w:rPr>
    <w:tblPr>
      <w:tblStyleRowBandSize w:val="1"/>
      <w:tblStyleColBandSize w:val="1"/>
      <w:tblBorders>
        <w:top w:val="single" w:sz="8" w:space="0" w:color="FDAB07" w:themeColor="accent4"/>
        <w:bottom w:val="single" w:sz="8" w:space="0" w:color="FDAB07" w:themeColor="accent4"/>
      </w:tblBorders>
    </w:tblPr>
    <w:tblStylePr w:type="fir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lastRow">
      <w:pPr>
        <w:spacing w:before="0" w:after="0" w:line="240" w:lineRule="auto"/>
      </w:pPr>
      <w:rPr>
        <w:b/>
        <w:bCs/>
      </w:rPr>
      <w:tblPr/>
      <w:tcPr>
        <w:tcBorders>
          <w:top w:val="single" w:sz="8" w:space="0" w:color="FDAB07" w:themeColor="accent4"/>
          <w:left w:val="nil"/>
          <w:bottom w:val="single" w:sz="8" w:space="0" w:color="FDAB0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left w:val="nil"/>
          <w:right w:val="nil"/>
          <w:insideH w:val="nil"/>
          <w:insideV w:val="nil"/>
        </w:tcBorders>
        <w:shd w:val="clear" w:color="auto" w:fill="FEEAC1" w:themeFill="accent4" w:themeFillTint="3F"/>
      </w:tcPr>
    </w:tblStylePr>
  </w:style>
  <w:style w:type="table" w:styleId="LightShading-Accent5">
    <w:name w:val="Light Shading Accent 5"/>
    <w:basedOn w:val="TableNormal"/>
    <w:uiPriority w:val="60"/>
    <w:semiHidden/>
    <w:unhideWhenUsed/>
    <w:rsid w:val="0057062A"/>
    <w:pPr>
      <w:spacing w:after="0" w:line="240" w:lineRule="auto"/>
    </w:pPr>
    <w:rPr>
      <w:color w:val="A41045" w:themeColor="accent5" w:themeShade="BF"/>
    </w:rPr>
    <w:tblPr>
      <w:tblStyleRowBandSize w:val="1"/>
      <w:tblStyleColBandSize w:val="1"/>
      <w:tblBorders>
        <w:top w:val="single" w:sz="8" w:space="0" w:color="DC165D" w:themeColor="accent5"/>
        <w:bottom w:val="single" w:sz="8" w:space="0" w:color="DC165D" w:themeColor="accent5"/>
      </w:tblBorders>
    </w:tblPr>
    <w:tblStylePr w:type="fir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lastRow">
      <w:pPr>
        <w:spacing w:before="0" w:after="0" w:line="240" w:lineRule="auto"/>
      </w:pPr>
      <w:rPr>
        <w:b/>
        <w:bCs/>
      </w:rPr>
      <w:tblPr/>
      <w:tcPr>
        <w:tcBorders>
          <w:top w:val="single" w:sz="8" w:space="0" w:color="DC165D" w:themeColor="accent5"/>
          <w:left w:val="nil"/>
          <w:bottom w:val="single" w:sz="8" w:space="0" w:color="DC165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left w:val="nil"/>
          <w:right w:val="nil"/>
          <w:insideH w:val="nil"/>
          <w:insideV w:val="nil"/>
        </w:tcBorders>
        <w:shd w:val="clear" w:color="auto" w:fill="F9C2D6" w:themeFill="accent5" w:themeFillTint="3F"/>
      </w:tcPr>
    </w:tblStylePr>
  </w:style>
  <w:style w:type="table" w:styleId="LightShading-Accent6">
    <w:name w:val="Light Shading Accent 6"/>
    <w:basedOn w:val="TableNormal"/>
    <w:uiPriority w:val="60"/>
    <w:semiHidden/>
    <w:unhideWhenUsed/>
    <w:rsid w:val="0057062A"/>
    <w:pPr>
      <w:spacing w:after="0" w:line="240" w:lineRule="auto"/>
    </w:pPr>
    <w:rPr>
      <w:color w:val="532477" w:themeColor="accent6" w:themeShade="BF"/>
    </w:rPr>
    <w:tblPr>
      <w:tblStyleRowBandSize w:val="1"/>
      <w:tblStyleColBandSize w:val="1"/>
      <w:tblBorders>
        <w:top w:val="single" w:sz="8" w:space="0" w:color="7030A0" w:themeColor="accent6"/>
        <w:bottom w:val="single" w:sz="8" w:space="0" w:color="7030A0" w:themeColor="accent6"/>
      </w:tblBorders>
    </w:tblPr>
    <w:tblStylePr w:type="fir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lastRow">
      <w:pPr>
        <w:spacing w:before="0" w:after="0" w:line="240" w:lineRule="auto"/>
      </w:pPr>
      <w:rPr>
        <w:b/>
        <w:bCs/>
      </w:rPr>
      <w:tblPr/>
      <w:tcPr>
        <w:tcBorders>
          <w:top w:val="single" w:sz="8" w:space="0" w:color="7030A0" w:themeColor="accent6"/>
          <w:left w:val="nil"/>
          <w:bottom w:val="single" w:sz="8" w:space="0" w:color="7030A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left w:val="nil"/>
          <w:right w:val="nil"/>
          <w:insideH w:val="nil"/>
          <w:insideV w:val="nil"/>
        </w:tcBorders>
        <w:shd w:val="clear" w:color="auto" w:fill="DCC5ED" w:themeFill="accent6" w:themeFillTint="3F"/>
      </w:tcPr>
    </w:tblStylePr>
  </w:style>
  <w:style w:type="table" w:styleId="ListTable1Light">
    <w:name w:val="List Table 1 Light"/>
    <w:basedOn w:val="TableNormal"/>
    <w:uiPriority w:val="46"/>
    <w:rsid w:val="0057062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062A"/>
    <w:pPr>
      <w:spacing w:after="0" w:line="240" w:lineRule="auto"/>
    </w:pPr>
    <w:tblPr>
      <w:tblStyleRowBandSize w:val="1"/>
      <w:tblStyleColBandSize w:val="1"/>
    </w:tblPr>
    <w:tblStylePr w:type="firstRow">
      <w:rPr>
        <w:b/>
        <w:bCs/>
      </w:rPr>
      <w:tblPr/>
      <w:tcPr>
        <w:tcBorders>
          <w:bottom w:val="single" w:sz="4" w:space="0" w:color="1AFF7E" w:themeColor="accent1" w:themeTint="99"/>
        </w:tcBorders>
      </w:tcPr>
    </w:tblStylePr>
    <w:tblStylePr w:type="lastRow">
      <w:rPr>
        <w:b/>
        <w:bCs/>
      </w:rPr>
      <w:tblPr/>
      <w:tcPr>
        <w:tcBorders>
          <w:top w:val="sing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1Light-Accent2">
    <w:name w:val="List Table 1 Light Accent 2"/>
    <w:basedOn w:val="TableNormal"/>
    <w:uiPriority w:val="46"/>
    <w:rsid w:val="0057062A"/>
    <w:pPr>
      <w:spacing w:after="0" w:line="240" w:lineRule="auto"/>
    </w:pPr>
    <w:tblPr>
      <w:tblStyleRowBandSize w:val="1"/>
      <w:tblStyleColBandSize w:val="1"/>
    </w:tblPr>
    <w:tblStylePr w:type="firstRow">
      <w:rPr>
        <w:b/>
        <w:bCs/>
      </w:rPr>
      <w:tblPr/>
      <w:tcPr>
        <w:tcBorders>
          <w:bottom w:val="single" w:sz="4" w:space="0" w:color="FC7E55" w:themeColor="accent2" w:themeTint="99"/>
        </w:tcBorders>
      </w:tcPr>
    </w:tblStylePr>
    <w:tblStylePr w:type="lastRow">
      <w:rPr>
        <w:b/>
        <w:bCs/>
      </w:rPr>
      <w:tblPr/>
      <w:tcPr>
        <w:tcBorders>
          <w:top w:val="single" w:sz="4" w:space="0" w:color="FC7E55" w:themeColor="accent2" w:themeTint="99"/>
        </w:tcBorders>
      </w:tcPr>
    </w:tblStylePr>
    <w:tblStylePr w:type="firstCol">
      <w:rPr>
        <w:b/>
        <w:bCs/>
      </w:rPr>
    </w:tblStylePr>
    <w:tblStylePr w:type="lastCol">
      <w:rPr>
        <w:b/>
        <w:bCs/>
      </w:rPr>
    </w:tblStylePr>
    <w:tblStylePr w:type="band1Vert">
      <w:tblPr/>
      <w:tcPr>
        <w:shd w:val="clear" w:color="auto" w:fill="FED3C6" w:themeFill="accent2" w:themeFillTint="33"/>
      </w:tcPr>
    </w:tblStylePr>
    <w:tblStylePr w:type="band1Horz">
      <w:tblPr/>
      <w:tcPr>
        <w:shd w:val="clear" w:color="auto" w:fill="FED3C6" w:themeFill="accent2" w:themeFillTint="33"/>
      </w:tcPr>
    </w:tblStylePr>
  </w:style>
  <w:style w:type="table" w:styleId="ListTable1Light-Accent3">
    <w:name w:val="List Table 1 Light Accent 3"/>
    <w:basedOn w:val="TableNormal"/>
    <w:uiPriority w:val="46"/>
    <w:rsid w:val="0057062A"/>
    <w:pPr>
      <w:spacing w:after="0" w:line="240" w:lineRule="auto"/>
    </w:pPr>
    <w:tblPr>
      <w:tblStyleRowBandSize w:val="1"/>
      <w:tblStyleColBandSize w:val="1"/>
    </w:tblPr>
    <w:tblStylePr w:type="firstRow">
      <w:rPr>
        <w:b/>
        <w:bCs/>
      </w:rPr>
      <w:tblPr/>
      <w:tcPr>
        <w:tcBorders>
          <w:bottom w:val="single" w:sz="4" w:space="0" w:color="7CB7FE" w:themeColor="accent3" w:themeTint="99"/>
        </w:tcBorders>
      </w:tcPr>
    </w:tblStylePr>
    <w:tblStylePr w:type="lastRow">
      <w:rPr>
        <w:b/>
        <w:bCs/>
      </w:rPr>
      <w:tblPr/>
      <w:tcPr>
        <w:tcBorders>
          <w:top w:val="sing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1Light-Accent4">
    <w:name w:val="List Table 1 Light Accent 4"/>
    <w:basedOn w:val="TableNormal"/>
    <w:uiPriority w:val="46"/>
    <w:rsid w:val="0057062A"/>
    <w:pPr>
      <w:spacing w:after="0" w:line="240" w:lineRule="auto"/>
    </w:pPr>
    <w:tblPr>
      <w:tblStyleRowBandSize w:val="1"/>
      <w:tblStyleColBandSize w:val="1"/>
    </w:tblPr>
    <w:tblStylePr w:type="firstRow">
      <w:rPr>
        <w:b/>
        <w:bCs/>
      </w:rPr>
      <w:tblPr/>
      <w:tcPr>
        <w:tcBorders>
          <w:bottom w:val="single" w:sz="4" w:space="0" w:color="FDCC6A" w:themeColor="accent4" w:themeTint="99"/>
        </w:tcBorders>
      </w:tcPr>
    </w:tblStylePr>
    <w:tblStylePr w:type="lastRow">
      <w:rPr>
        <w:b/>
        <w:bCs/>
      </w:rPr>
      <w:tblPr/>
      <w:tcPr>
        <w:tcBorders>
          <w:top w:val="sing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1Light-Accent5">
    <w:name w:val="List Table 1 Light Accent 5"/>
    <w:basedOn w:val="TableNormal"/>
    <w:uiPriority w:val="46"/>
    <w:rsid w:val="0057062A"/>
    <w:pPr>
      <w:spacing w:after="0" w:line="240" w:lineRule="auto"/>
    </w:pPr>
    <w:tblPr>
      <w:tblStyleRowBandSize w:val="1"/>
      <w:tblStyleColBandSize w:val="1"/>
    </w:tblPr>
    <w:tblStylePr w:type="firstRow">
      <w:rPr>
        <w:b/>
        <w:bCs/>
      </w:rPr>
      <w:tblPr/>
      <w:tcPr>
        <w:tcBorders>
          <w:bottom w:val="single" w:sz="4" w:space="0" w:color="F06C9B" w:themeColor="accent5" w:themeTint="99"/>
        </w:tcBorders>
      </w:tcPr>
    </w:tblStylePr>
    <w:tblStylePr w:type="lastRow">
      <w:rPr>
        <w:b/>
        <w:bCs/>
      </w:rPr>
      <w:tblPr/>
      <w:tcPr>
        <w:tcBorders>
          <w:top w:val="sing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1Light-Accent6">
    <w:name w:val="List Table 1 Light Accent 6"/>
    <w:basedOn w:val="TableNormal"/>
    <w:uiPriority w:val="46"/>
    <w:rsid w:val="0057062A"/>
    <w:pPr>
      <w:spacing w:after="0" w:line="240" w:lineRule="auto"/>
    </w:pPr>
    <w:tblPr>
      <w:tblStyleRowBandSize w:val="1"/>
      <w:tblStyleColBandSize w:val="1"/>
    </w:tblPr>
    <w:tblStylePr w:type="firstRow">
      <w:rPr>
        <w:b/>
        <w:bCs/>
      </w:rPr>
      <w:tblPr/>
      <w:tcPr>
        <w:tcBorders>
          <w:bottom w:val="single" w:sz="4" w:space="0" w:color="AB73D5" w:themeColor="accent6" w:themeTint="99"/>
        </w:tcBorders>
      </w:tcPr>
    </w:tblStylePr>
    <w:tblStylePr w:type="lastRow">
      <w:rPr>
        <w:b/>
        <w:bCs/>
      </w:rPr>
      <w:tblPr/>
      <w:tcPr>
        <w:tcBorders>
          <w:top w:val="sing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2">
    <w:name w:val="List Table 2"/>
    <w:basedOn w:val="TableNormal"/>
    <w:uiPriority w:val="47"/>
    <w:rsid w:val="0057062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062A"/>
    <w:pPr>
      <w:spacing w:after="0" w:line="240" w:lineRule="auto"/>
    </w:pPr>
    <w:tblPr>
      <w:tblStyleRowBandSize w:val="1"/>
      <w:tblStyleColBandSize w:val="1"/>
      <w:tblBorders>
        <w:top w:val="single" w:sz="4" w:space="0" w:color="1AFF7E" w:themeColor="accent1" w:themeTint="99"/>
        <w:bottom w:val="single" w:sz="4" w:space="0" w:color="1AFF7E" w:themeColor="accent1" w:themeTint="99"/>
        <w:insideH w:val="single" w:sz="4" w:space="0" w:color="1AFF7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2-Accent2">
    <w:name w:val="List Table 2 Accent 2"/>
    <w:basedOn w:val="TableNormal"/>
    <w:uiPriority w:val="47"/>
    <w:rsid w:val="0057062A"/>
    <w:pPr>
      <w:spacing w:after="0" w:line="240" w:lineRule="auto"/>
    </w:pPr>
    <w:tblPr>
      <w:tblStyleRowBandSize w:val="1"/>
      <w:tblStyleColBandSize w:val="1"/>
      <w:tblBorders>
        <w:top w:val="single" w:sz="4" w:space="0" w:color="FC7E55" w:themeColor="accent2" w:themeTint="99"/>
        <w:bottom w:val="single" w:sz="4" w:space="0" w:color="FC7E55" w:themeColor="accent2" w:themeTint="99"/>
        <w:insideH w:val="single" w:sz="4" w:space="0" w:color="FC7E5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3C6" w:themeFill="accent2" w:themeFillTint="33"/>
      </w:tcPr>
    </w:tblStylePr>
    <w:tblStylePr w:type="band1Horz">
      <w:tblPr/>
      <w:tcPr>
        <w:shd w:val="clear" w:color="auto" w:fill="FED3C6" w:themeFill="accent2" w:themeFillTint="33"/>
      </w:tcPr>
    </w:tblStylePr>
  </w:style>
  <w:style w:type="table" w:styleId="ListTable2-Accent3">
    <w:name w:val="List Table 2 Accent 3"/>
    <w:basedOn w:val="TableNormal"/>
    <w:uiPriority w:val="47"/>
    <w:rsid w:val="0057062A"/>
    <w:pPr>
      <w:spacing w:after="0" w:line="240" w:lineRule="auto"/>
    </w:pPr>
    <w:tblPr>
      <w:tblStyleRowBandSize w:val="1"/>
      <w:tblStyleColBandSize w:val="1"/>
      <w:tblBorders>
        <w:top w:val="single" w:sz="4" w:space="0" w:color="7CB7FE" w:themeColor="accent3" w:themeTint="99"/>
        <w:bottom w:val="single" w:sz="4" w:space="0" w:color="7CB7FE" w:themeColor="accent3" w:themeTint="99"/>
        <w:insideH w:val="single" w:sz="4" w:space="0" w:color="7CB7F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2-Accent4">
    <w:name w:val="List Table 2 Accent 4"/>
    <w:basedOn w:val="TableNormal"/>
    <w:uiPriority w:val="47"/>
    <w:rsid w:val="0057062A"/>
    <w:pPr>
      <w:spacing w:after="0" w:line="240" w:lineRule="auto"/>
    </w:pPr>
    <w:tblPr>
      <w:tblStyleRowBandSize w:val="1"/>
      <w:tblStyleColBandSize w:val="1"/>
      <w:tblBorders>
        <w:top w:val="single" w:sz="4" w:space="0" w:color="FDCC6A" w:themeColor="accent4" w:themeTint="99"/>
        <w:bottom w:val="single" w:sz="4" w:space="0" w:color="FDCC6A" w:themeColor="accent4" w:themeTint="99"/>
        <w:insideH w:val="single" w:sz="4" w:space="0" w:color="FDCC6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2-Accent5">
    <w:name w:val="List Table 2 Accent 5"/>
    <w:basedOn w:val="TableNormal"/>
    <w:uiPriority w:val="47"/>
    <w:rsid w:val="0057062A"/>
    <w:pPr>
      <w:spacing w:after="0" w:line="240" w:lineRule="auto"/>
    </w:pPr>
    <w:tblPr>
      <w:tblStyleRowBandSize w:val="1"/>
      <w:tblStyleColBandSize w:val="1"/>
      <w:tblBorders>
        <w:top w:val="single" w:sz="4" w:space="0" w:color="F06C9B" w:themeColor="accent5" w:themeTint="99"/>
        <w:bottom w:val="single" w:sz="4" w:space="0" w:color="F06C9B" w:themeColor="accent5" w:themeTint="99"/>
        <w:insideH w:val="single" w:sz="4" w:space="0" w:color="F06C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2-Accent6">
    <w:name w:val="List Table 2 Accent 6"/>
    <w:basedOn w:val="TableNormal"/>
    <w:uiPriority w:val="47"/>
    <w:rsid w:val="0057062A"/>
    <w:pPr>
      <w:spacing w:after="0" w:line="240" w:lineRule="auto"/>
    </w:pPr>
    <w:tblPr>
      <w:tblStyleRowBandSize w:val="1"/>
      <w:tblStyleColBandSize w:val="1"/>
      <w:tblBorders>
        <w:top w:val="single" w:sz="4" w:space="0" w:color="AB73D5" w:themeColor="accent6" w:themeTint="99"/>
        <w:bottom w:val="single" w:sz="4" w:space="0" w:color="AB73D5" w:themeColor="accent6" w:themeTint="99"/>
        <w:insideH w:val="single" w:sz="4" w:space="0" w:color="AB73D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3">
    <w:name w:val="List Table 3"/>
    <w:basedOn w:val="TableNormal"/>
    <w:uiPriority w:val="48"/>
    <w:rsid w:val="0057062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062A"/>
    <w:pPr>
      <w:spacing w:after="0" w:line="240" w:lineRule="auto"/>
    </w:pPr>
    <w:tblPr>
      <w:tblStyleRowBandSize w:val="1"/>
      <w:tblStyleColBandSize w:val="1"/>
      <w:tblBorders>
        <w:top w:val="single" w:sz="4" w:space="0" w:color="008139" w:themeColor="accent1"/>
        <w:left w:val="single" w:sz="4" w:space="0" w:color="008139" w:themeColor="accent1"/>
        <w:bottom w:val="single" w:sz="4" w:space="0" w:color="008139" w:themeColor="accent1"/>
        <w:right w:val="single" w:sz="4" w:space="0" w:color="008139" w:themeColor="accent1"/>
      </w:tblBorders>
    </w:tblPr>
    <w:tblStylePr w:type="firstRow">
      <w:rPr>
        <w:b/>
        <w:bCs/>
        <w:color w:val="FFFFFF" w:themeColor="background1"/>
      </w:rPr>
      <w:tblPr/>
      <w:tcPr>
        <w:shd w:val="clear" w:color="auto" w:fill="008139" w:themeFill="accent1"/>
      </w:tcPr>
    </w:tblStylePr>
    <w:tblStylePr w:type="lastRow">
      <w:rPr>
        <w:b/>
        <w:bCs/>
      </w:rPr>
      <w:tblPr/>
      <w:tcPr>
        <w:tcBorders>
          <w:top w:val="double" w:sz="4" w:space="0" w:color="00813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139" w:themeColor="accent1"/>
          <w:right w:val="single" w:sz="4" w:space="0" w:color="008139" w:themeColor="accent1"/>
        </w:tcBorders>
      </w:tcPr>
    </w:tblStylePr>
    <w:tblStylePr w:type="band1Horz">
      <w:tblPr/>
      <w:tcPr>
        <w:tcBorders>
          <w:top w:val="single" w:sz="4" w:space="0" w:color="008139" w:themeColor="accent1"/>
          <w:bottom w:val="single" w:sz="4" w:space="0" w:color="00813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139" w:themeColor="accent1"/>
          <w:left w:val="nil"/>
        </w:tcBorders>
      </w:tcPr>
    </w:tblStylePr>
    <w:tblStylePr w:type="swCell">
      <w:tblPr/>
      <w:tcPr>
        <w:tcBorders>
          <w:top w:val="double" w:sz="4" w:space="0" w:color="008139" w:themeColor="accent1"/>
          <w:right w:val="nil"/>
        </w:tcBorders>
      </w:tcPr>
    </w:tblStylePr>
  </w:style>
  <w:style w:type="table" w:styleId="ListTable3-Accent2">
    <w:name w:val="List Table 3 Accent 2"/>
    <w:basedOn w:val="TableNormal"/>
    <w:uiPriority w:val="48"/>
    <w:rsid w:val="0057062A"/>
    <w:pPr>
      <w:spacing w:after="0" w:line="240" w:lineRule="auto"/>
    </w:pPr>
    <w:tblPr>
      <w:tblStyleRowBandSize w:val="1"/>
      <w:tblStyleColBandSize w:val="1"/>
      <w:tblBorders>
        <w:top w:val="single" w:sz="4" w:space="0" w:color="DC3903" w:themeColor="accent2"/>
        <w:left w:val="single" w:sz="4" w:space="0" w:color="DC3903" w:themeColor="accent2"/>
        <w:bottom w:val="single" w:sz="4" w:space="0" w:color="DC3903" w:themeColor="accent2"/>
        <w:right w:val="single" w:sz="4" w:space="0" w:color="DC3903" w:themeColor="accent2"/>
      </w:tblBorders>
    </w:tblPr>
    <w:tblStylePr w:type="firstRow">
      <w:rPr>
        <w:b/>
        <w:bCs/>
        <w:color w:val="FFFFFF" w:themeColor="background1"/>
      </w:rPr>
      <w:tblPr/>
      <w:tcPr>
        <w:shd w:val="clear" w:color="auto" w:fill="DC3903" w:themeFill="accent2"/>
      </w:tcPr>
    </w:tblStylePr>
    <w:tblStylePr w:type="lastRow">
      <w:rPr>
        <w:b/>
        <w:bCs/>
      </w:rPr>
      <w:tblPr/>
      <w:tcPr>
        <w:tcBorders>
          <w:top w:val="double" w:sz="4" w:space="0" w:color="DC390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3903" w:themeColor="accent2"/>
          <w:right w:val="single" w:sz="4" w:space="0" w:color="DC3903" w:themeColor="accent2"/>
        </w:tcBorders>
      </w:tcPr>
    </w:tblStylePr>
    <w:tblStylePr w:type="band1Horz">
      <w:tblPr/>
      <w:tcPr>
        <w:tcBorders>
          <w:top w:val="single" w:sz="4" w:space="0" w:color="DC3903" w:themeColor="accent2"/>
          <w:bottom w:val="single" w:sz="4" w:space="0" w:color="DC390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3903" w:themeColor="accent2"/>
          <w:left w:val="nil"/>
        </w:tcBorders>
      </w:tcPr>
    </w:tblStylePr>
    <w:tblStylePr w:type="swCell">
      <w:tblPr/>
      <w:tcPr>
        <w:tcBorders>
          <w:top w:val="double" w:sz="4" w:space="0" w:color="DC3903" w:themeColor="accent2"/>
          <w:right w:val="nil"/>
        </w:tcBorders>
      </w:tcPr>
    </w:tblStylePr>
  </w:style>
  <w:style w:type="table" w:styleId="ListTable3-Accent3">
    <w:name w:val="List Table 3 Accent 3"/>
    <w:basedOn w:val="TableNormal"/>
    <w:uiPriority w:val="48"/>
    <w:rsid w:val="0057062A"/>
    <w:pPr>
      <w:spacing w:after="0" w:line="240" w:lineRule="auto"/>
    </w:pPr>
    <w:tblPr>
      <w:tblStyleRowBandSize w:val="1"/>
      <w:tblStyleColBandSize w:val="1"/>
      <w:tblBorders>
        <w:top w:val="single" w:sz="4" w:space="0" w:color="2688FE" w:themeColor="accent3"/>
        <w:left w:val="single" w:sz="4" w:space="0" w:color="2688FE" w:themeColor="accent3"/>
        <w:bottom w:val="single" w:sz="4" w:space="0" w:color="2688FE" w:themeColor="accent3"/>
        <w:right w:val="single" w:sz="4" w:space="0" w:color="2688FE" w:themeColor="accent3"/>
      </w:tblBorders>
    </w:tblPr>
    <w:tblStylePr w:type="firstRow">
      <w:rPr>
        <w:b/>
        <w:bCs/>
        <w:color w:val="FFFFFF" w:themeColor="background1"/>
      </w:rPr>
      <w:tblPr/>
      <w:tcPr>
        <w:shd w:val="clear" w:color="auto" w:fill="2688FE" w:themeFill="accent3"/>
      </w:tcPr>
    </w:tblStylePr>
    <w:tblStylePr w:type="lastRow">
      <w:rPr>
        <w:b/>
        <w:bCs/>
      </w:rPr>
      <w:tblPr/>
      <w:tcPr>
        <w:tcBorders>
          <w:top w:val="double" w:sz="4" w:space="0" w:color="2688F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88FE" w:themeColor="accent3"/>
          <w:right w:val="single" w:sz="4" w:space="0" w:color="2688FE" w:themeColor="accent3"/>
        </w:tcBorders>
      </w:tcPr>
    </w:tblStylePr>
    <w:tblStylePr w:type="band1Horz">
      <w:tblPr/>
      <w:tcPr>
        <w:tcBorders>
          <w:top w:val="single" w:sz="4" w:space="0" w:color="2688FE" w:themeColor="accent3"/>
          <w:bottom w:val="single" w:sz="4" w:space="0" w:color="2688F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88FE" w:themeColor="accent3"/>
          <w:left w:val="nil"/>
        </w:tcBorders>
      </w:tcPr>
    </w:tblStylePr>
    <w:tblStylePr w:type="swCell">
      <w:tblPr/>
      <w:tcPr>
        <w:tcBorders>
          <w:top w:val="double" w:sz="4" w:space="0" w:color="2688FE" w:themeColor="accent3"/>
          <w:right w:val="nil"/>
        </w:tcBorders>
      </w:tcPr>
    </w:tblStylePr>
  </w:style>
  <w:style w:type="table" w:styleId="ListTable3-Accent4">
    <w:name w:val="List Table 3 Accent 4"/>
    <w:basedOn w:val="TableNormal"/>
    <w:uiPriority w:val="48"/>
    <w:rsid w:val="0057062A"/>
    <w:pPr>
      <w:spacing w:after="0" w:line="240" w:lineRule="auto"/>
    </w:pPr>
    <w:tblPr>
      <w:tblStyleRowBandSize w:val="1"/>
      <w:tblStyleColBandSize w:val="1"/>
      <w:tblBorders>
        <w:top w:val="single" w:sz="4" w:space="0" w:color="FDAB07" w:themeColor="accent4"/>
        <w:left w:val="single" w:sz="4" w:space="0" w:color="FDAB07" w:themeColor="accent4"/>
        <w:bottom w:val="single" w:sz="4" w:space="0" w:color="FDAB07" w:themeColor="accent4"/>
        <w:right w:val="single" w:sz="4" w:space="0" w:color="FDAB07" w:themeColor="accent4"/>
      </w:tblBorders>
    </w:tblPr>
    <w:tblStylePr w:type="firstRow">
      <w:rPr>
        <w:b/>
        <w:bCs/>
        <w:color w:val="FFFFFF" w:themeColor="background1"/>
      </w:rPr>
      <w:tblPr/>
      <w:tcPr>
        <w:shd w:val="clear" w:color="auto" w:fill="FDAB07" w:themeFill="accent4"/>
      </w:tcPr>
    </w:tblStylePr>
    <w:tblStylePr w:type="lastRow">
      <w:rPr>
        <w:b/>
        <w:bCs/>
      </w:rPr>
      <w:tblPr/>
      <w:tcPr>
        <w:tcBorders>
          <w:top w:val="double" w:sz="4" w:space="0" w:color="FDAB0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AB07" w:themeColor="accent4"/>
          <w:right w:val="single" w:sz="4" w:space="0" w:color="FDAB07" w:themeColor="accent4"/>
        </w:tcBorders>
      </w:tcPr>
    </w:tblStylePr>
    <w:tblStylePr w:type="band1Horz">
      <w:tblPr/>
      <w:tcPr>
        <w:tcBorders>
          <w:top w:val="single" w:sz="4" w:space="0" w:color="FDAB07" w:themeColor="accent4"/>
          <w:bottom w:val="single" w:sz="4" w:space="0" w:color="FDAB0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AB07" w:themeColor="accent4"/>
          <w:left w:val="nil"/>
        </w:tcBorders>
      </w:tcPr>
    </w:tblStylePr>
    <w:tblStylePr w:type="swCell">
      <w:tblPr/>
      <w:tcPr>
        <w:tcBorders>
          <w:top w:val="double" w:sz="4" w:space="0" w:color="FDAB07" w:themeColor="accent4"/>
          <w:right w:val="nil"/>
        </w:tcBorders>
      </w:tcPr>
    </w:tblStylePr>
  </w:style>
  <w:style w:type="table" w:styleId="ListTable3-Accent5">
    <w:name w:val="List Table 3 Accent 5"/>
    <w:basedOn w:val="TableNormal"/>
    <w:uiPriority w:val="48"/>
    <w:rsid w:val="0057062A"/>
    <w:pPr>
      <w:spacing w:after="0" w:line="240" w:lineRule="auto"/>
    </w:pPr>
    <w:tblPr>
      <w:tblStyleRowBandSize w:val="1"/>
      <w:tblStyleColBandSize w:val="1"/>
      <w:tblBorders>
        <w:top w:val="single" w:sz="4" w:space="0" w:color="DC165D" w:themeColor="accent5"/>
        <w:left w:val="single" w:sz="4" w:space="0" w:color="DC165D" w:themeColor="accent5"/>
        <w:bottom w:val="single" w:sz="4" w:space="0" w:color="DC165D" w:themeColor="accent5"/>
        <w:right w:val="single" w:sz="4" w:space="0" w:color="DC165D" w:themeColor="accent5"/>
      </w:tblBorders>
    </w:tblPr>
    <w:tblStylePr w:type="firstRow">
      <w:rPr>
        <w:b/>
        <w:bCs/>
        <w:color w:val="FFFFFF" w:themeColor="background1"/>
      </w:rPr>
      <w:tblPr/>
      <w:tcPr>
        <w:shd w:val="clear" w:color="auto" w:fill="DC165D" w:themeFill="accent5"/>
      </w:tcPr>
    </w:tblStylePr>
    <w:tblStylePr w:type="lastRow">
      <w:rPr>
        <w:b/>
        <w:bCs/>
      </w:rPr>
      <w:tblPr/>
      <w:tcPr>
        <w:tcBorders>
          <w:top w:val="double" w:sz="4" w:space="0" w:color="DC165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C165D" w:themeColor="accent5"/>
          <w:right w:val="single" w:sz="4" w:space="0" w:color="DC165D" w:themeColor="accent5"/>
        </w:tcBorders>
      </w:tcPr>
    </w:tblStylePr>
    <w:tblStylePr w:type="band1Horz">
      <w:tblPr/>
      <w:tcPr>
        <w:tcBorders>
          <w:top w:val="single" w:sz="4" w:space="0" w:color="DC165D" w:themeColor="accent5"/>
          <w:bottom w:val="single" w:sz="4" w:space="0" w:color="DC165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C165D" w:themeColor="accent5"/>
          <w:left w:val="nil"/>
        </w:tcBorders>
      </w:tcPr>
    </w:tblStylePr>
    <w:tblStylePr w:type="swCell">
      <w:tblPr/>
      <w:tcPr>
        <w:tcBorders>
          <w:top w:val="double" w:sz="4" w:space="0" w:color="DC165D" w:themeColor="accent5"/>
          <w:right w:val="nil"/>
        </w:tcBorders>
      </w:tcPr>
    </w:tblStylePr>
  </w:style>
  <w:style w:type="table" w:styleId="ListTable3-Accent6">
    <w:name w:val="List Table 3 Accent 6"/>
    <w:basedOn w:val="TableNormal"/>
    <w:uiPriority w:val="48"/>
    <w:rsid w:val="0057062A"/>
    <w:pPr>
      <w:spacing w:after="0" w:line="240" w:lineRule="auto"/>
    </w:pPr>
    <w:tblPr>
      <w:tblStyleRowBandSize w:val="1"/>
      <w:tblStyleColBandSize w:val="1"/>
      <w:tblBorders>
        <w:top w:val="single" w:sz="4" w:space="0" w:color="7030A0" w:themeColor="accent6"/>
        <w:left w:val="single" w:sz="4" w:space="0" w:color="7030A0" w:themeColor="accent6"/>
        <w:bottom w:val="single" w:sz="4" w:space="0" w:color="7030A0" w:themeColor="accent6"/>
        <w:right w:val="single" w:sz="4" w:space="0" w:color="7030A0" w:themeColor="accent6"/>
      </w:tblBorders>
    </w:tblPr>
    <w:tblStylePr w:type="firstRow">
      <w:rPr>
        <w:b/>
        <w:bCs/>
        <w:color w:val="FFFFFF" w:themeColor="background1"/>
      </w:rPr>
      <w:tblPr/>
      <w:tcPr>
        <w:shd w:val="clear" w:color="auto" w:fill="7030A0" w:themeFill="accent6"/>
      </w:tcPr>
    </w:tblStylePr>
    <w:tblStylePr w:type="lastRow">
      <w:rPr>
        <w:b/>
        <w:bCs/>
      </w:rPr>
      <w:tblPr/>
      <w:tcPr>
        <w:tcBorders>
          <w:top w:val="double" w:sz="4" w:space="0" w:color="7030A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30A0" w:themeColor="accent6"/>
          <w:right w:val="single" w:sz="4" w:space="0" w:color="7030A0" w:themeColor="accent6"/>
        </w:tcBorders>
      </w:tcPr>
    </w:tblStylePr>
    <w:tblStylePr w:type="band1Horz">
      <w:tblPr/>
      <w:tcPr>
        <w:tcBorders>
          <w:top w:val="single" w:sz="4" w:space="0" w:color="7030A0" w:themeColor="accent6"/>
          <w:bottom w:val="single" w:sz="4" w:space="0" w:color="7030A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30A0" w:themeColor="accent6"/>
          <w:left w:val="nil"/>
        </w:tcBorders>
      </w:tcPr>
    </w:tblStylePr>
    <w:tblStylePr w:type="swCell">
      <w:tblPr/>
      <w:tcPr>
        <w:tcBorders>
          <w:top w:val="double" w:sz="4" w:space="0" w:color="7030A0" w:themeColor="accent6"/>
          <w:right w:val="nil"/>
        </w:tcBorders>
      </w:tcPr>
    </w:tblStylePr>
  </w:style>
  <w:style w:type="table" w:styleId="ListTable4">
    <w:name w:val="List Table 4"/>
    <w:basedOn w:val="TableNormal"/>
    <w:uiPriority w:val="49"/>
    <w:rsid w:val="0057062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062A"/>
    <w:pPr>
      <w:spacing w:after="0" w:line="240" w:lineRule="auto"/>
    </w:pPr>
    <w:tblPr>
      <w:tblStyleRowBandSize w:val="1"/>
      <w:tblStyleColBandSize w:val="1"/>
      <w:tblBorders>
        <w:top w:val="single" w:sz="4" w:space="0" w:color="1AFF7E" w:themeColor="accent1" w:themeTint="99"/>
        <w:left w:val="single" w:sz="4" w:space="0" w:color="1AFF7E" w:themeColor="accent1" w:themeTint="99"/>
        <w:bottom w:val="single" w:sz="4" w:space="0" w:color="1AFF7E" w:themeColor="accent1" w:themeTint="99"/>
        <w:right w:val="single" w:sz="4" w:space="0" w:color="1AFF7E" w:themeColor="accent1" w:themeTint="99"/>
        <w:insideH w:val="single" w:sz="4" w:space="0" w:color="1AFF7E" w:themeColor="accent1" w:themeTint="99"/>
      </w:tblBorders>
    </w:tblPr>
    <w:tblStylePr w:type="firstRow">
      <w:rPr>
        <w:b/>
        <w:bCs/>
        <w:color w:val="FFFFFF" w:themeColor="background1"/>
      </w:rPr>
      <w:tblPr/>
      <w:tcPr>
        <w:tcBorders>
          <w:top w:val="single" w:sz="4" w:space="0" w:color="008139" w:themeColor="accent1"/>
          <w:left w:val="single" w:sz="4" w:space="0" w:color="008139" w:themeColor="accent1"/>
          <w:bottom w:val="single" w:sz="4" w:space="0" w:color="008139" w:themeColor="accent1"/>
          <w:right w:val="single" w:sz="4" w:space="0" w:color="008139" w:themeColor="accent1"/>
          <w:insideH w:val="nil"/>
        </w:tcBorders>
        <w:shd w:val="clear" w:color="auto" w:fill="008139" w:themeFill="accent1"/>
      </w:tcPr>
    </w:tblStylePr>
    <w:tblStylePr w:type="lastRow">
      <w:rPr>
        <w:b/>
        <w:bCs/>
      </w:rPr>
      <w:tblPr/>
      <w:tcPr>
        <w:tcBorders>
          <w:top w:val="double" w:sz="4" w:space="0" w:color="1AFF7E" w:themeColor="accent1" w:themeTint="99"/>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4-Accent2">
    <w:name w:val="List Table 4 Accent 2"/>
    <w:basedOn w:val="TableNormal"/>
    <w:uiPriority w:val="49"/>
    <w:rsid w:val="0057062A"/>
    <w:pPr>
      <w:spacing w:after="0" w:line="240" w:lineRule="auto"/>
    </w:pPr>
    <w:tblPr>
      <w:tblStyleRowBandSize w:val="1"/>
      <w:tblStyleColBandSize w:val="1"/>
      <w:tblBorders>
        <w:top w:val="single" w:sz="4" w:space="0" w:color="FC7E55" w:themeColor="accent2" w:themeTint="99"/>
        <w:left w:val="single" w:sz="4" w:space="0" w:color="FC7E55" w:themeColor="accent2" w:themeTint="99"/>
        <w:bottom w:val="single" w:sz="4" w:space="0" w:color="FC7E55" w:themeColor="accent2" w:themeTint="99"/>
        <w:right w:val="single" w:sz="4" w:space="0" w:color="FC7E55" w:themeColor="accent2" w:themeTint="99"/>
        <w:insideH w:val="single" w:sz="4" w:space="0" w:color="FC7E55" w:themeColor="accent2" w:themeTint="99"/>
      </w:tblBorders>
    </w:tblPr>
    <w:tblStylePr w:type="firstRow">
      <w:rPr>
        <w:b/>
        <w:bCs/>
        <w:color w:val="FFFFFF" w:themeColor="background1"/>
      </w:rPr>
      <w:tblPr/>
      <w:tcPr>
        <w:tcBorders>
          <w:top w:val="single" w:sz="4" w:space="0" w:color="DC3903" w:themeColor="accent2"/>
          <w:left w:val="single" w:sz="4" w:space="0" w:color="DC3903" w:themeColor="accent2"/>
          <w:bottom w:val="single" w:sz="4" w:space="0" w:color="DC3903" w:themeColor="accent2"/>
          <w:right w:val="single" w:sz="4" w:space="0" w:color="DC3903" w:themeColor="accent2"/>
          <w:insideH w:val="nil"/>
        </w:tcBorders>
        <w:shd w:val="clear" w:color="auto" w:fill="DC3903" w:themeFill="accent2"/>
      </w:tcPr>
    </w:tblStylePr>
    <w:tblStylePr w:type="lastRow">
      <w:rPr>
        <w:b/>
        <w:bCs/>
      </w:rPr>
      <w:tblPr/>
      <w:tcPr>
        <w:tcBorders>
          <w:top w:val="double" w:sz="4" w:space="0" w:color="FC7E55" w:themeColor="accent2" w:themeTint="99"/>
        </w:tcBorders>
      </w:tcPr>
    </w:tblStylePr>
    <w:tblStylePr w:type="firstCol">
      <w:rPr>
        <w:b/>
        <w:bCs/>
      </w:rPr>
    </w:tblStylePr>
    <w:tblStylePr w:type="lastCol">
      <w:rPr>
        <w:b/>
        <w:bCs/>
      </w:rPr>
    </w:tblStylePr>
    <w:tblStylePr w:type="band1Vert">
      <w:tblPr/>
      <w:tcPr>
        <w:shd w:val="clear" w:color="auto" w:fill="FED3C6" w:themeFill="accent2" w:themeFillTint="33"/>
      </w:tcPr>
    </w:tblStylePr>
    <w:tblStylePr w:type="band1Horz">
      <w:tblPr/>
      <w:tcPr>
        <w:shd w:val="clear" w:color="auto" w:fill="FED3C6" w:themeFill="accent2" w:themeFillTint="33"/>
      </w:tcPr>
    </w:tblStylePr>
  </w:style>
  <w:style w:type="table" w:styleId="ListTable4-Accent3">
    <w:name w:val="List Table 4 Accent 3"/>
    <w:basedOn w:val="TableNormal"/>
    <w:uiPriority w:val="49"/>
    <w:rsid w:val="0057062A"/>
    <w:pPr>
      <w:spacing w:after="0" w:line="240" w:lineRule="auto"/>
    </w:pPr>
    <w:tblPr>
      <w:tblStyleRowBandSize w:val="1"/>
      <w:tblStyleColBandSize w:val="1"/>
      <w:tblBorders>
        <w:top w:val="single" w:sz="4" w:space="0" w:color="7CB7FE" w:themeColor="accent3" w:themeTint="99"/>
        <w:left w:val="single" w:sz="4" w:space="0" w:color="7CB7FE" w:themeColor="accent3" w:themeTint="99"/>
        <w:bottom w:val="single" w:sz="4" w:space="0" w:color="7CB7FE" w:themeColor="accent3" w:themeTint="99"/>
        <w:right w:val="single" w:sz="4" w:space="0" w:color="7CB7FE" w:themeColor="accent3" w:themeTint="99"/>
        <w:insideH w:val="single" w:sz="4" w:space="0" w:color="7CB7FE" w:themeColor="accent3" w:themeTint="99"/>
      </w:tblBorders>
    </w:tblPr>
    <w:tblStylePr w:type="firstRow">
      <w:rPr>
        <w:b/>
        <w:bCs/>
        <w:color w:val="FFFFFF" w:themeColor="background1"/>
      </w:rPr>
      <w:tblPr/>
      <w:tcPr>
        <w:tcBorders>
          <w:top w:val="single" w:sz="4" w:space="0" w:color="2688FE" w:themeColor="accent3"/>
          <w:left w:val="single" w:sz="4" w:space="0" w:color="2688FE" w:themeColor="accent3"/>
          <w:bottom w:val="single" w:sz="4" w:space="0" w:color="2688FE" w:themeColor="accent3"/>
          <w:right w:val="single" w:sz="4" w:space="0" w:color="2688FE" w:themeColor="accent3"/>
          <w:insideH w:val="nil"/>
        </w:tcBorders>
        <w:shd w:val="clear" w:color="auto" w:fill="2688FE" w:themeFill="accent3"/>
      </w:tcPr>
    </w:tblStylePr>
    <w:tblStylePr w:type="lastRow">
      <w:rPr>
        <w:b/>
        <w:bCs/>
      </w:rPr>
      <w:tblPr/>
      <w:tcPr>
        <w:tcBorders>
          <w:top w:val="double" w:sz="4" w:space="0" w:color="7CB7FE" w:themeColor="accent3" w:themeTint="99"/>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4-Accent4">
    <w:name w:val="List Table 4 Accent 4"/>
    <w:basedOn w:val="TableNormal"/>
    <w:uiPriority w:val="49"/>
    <w:rsid w:val="0057062A"/>
    <w:pPr>
      <w:spacing w:after="0" w:line="240" w:lineRule="auto"/>
    </w:pPr>
    <w:tblPr>
      <w:tblStyleRowBandSize w:val="1"/>
      <w:tblStyleColBandSize w:val="1"/>
      <w:tblBorders>
        <w:top w:val="single" w:sz="4" w:space="0" w:color="FDCC6A" w:themeColor="accent4" w:themeTint="99"/>
        <w:left w:val="single" w:sz="4" w:space="0" w:color="FDCC6A" w:themeColor="accent4" w:themeTint="99"/>
        <w:bottom w:val="single" w:sz="4" w:space="0" w:color="FDCC6A" w:themeColor="accent4" w:themeTint="99"/>
        <w:right w:val="single" w:sz="4" w:space="0" w:color="FDCC6A" w:themeColor="accent4" w:themeTint="99"/>
        <w:insideH w:val="single" w:sz="4" w:space="0" w:color="FDCC6A" w:themeColor="accent4" w:themeTint="99"/>
      </w:tblBorders>
    </w:tblPr>
    <w:tblStylePr w:type="firstRow">
      <w:rPr>
        <w:b/>
        <w:bCs/>
        <w:color w:val="FFFFFF" w:themeColor="background1"/>
      </w:rPr>
      <w:tblPr/>
      <w:tcPr>
        <w:tcBorders>
          <w:top w:val="single" w:sz="4" w:space="0" w:color="FDAB07" w:themeColor="accent4"/>
          <w:left w:val="single" w:sz="4" w:space="0" w:color="FDAB07" w:themeColor="accent4"/>
          <w:bottom w:val="single" w:sz="4" w:space="0" w:color="FDAB07" w:themeColor="accent4"/>
          <w:right w:val="single" w:sz="4" w:space="0" w:color="FDAB07" w:themeColor="accent4"/>
          <w:insideH w:val="nil"/>
        </w:tcBorders>
        <w:shd w:val="clear" w:color="auto" w:fill="FDAB07" w:themeFill="accent4"/>
      </w:tcPr>
    </w:tblStylePr>
    <w:tblStylePr w:type="lastRow">
      <w:rPr>
        <w:b/>
        <w:bCs/>
      </w:rPr>
      <w:tblPr/>
      <w:tcPr>
        <w:tcBorders>
          <w:top w:val="double" w:sz="4" w:space="0" w:color="FDCC6A" w:themeColor="accent4" w:themeTint="99"/>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4-Accent5">
    <w:name w:val="List Table 4 Accent 5"/>
    <w:basedOn w:val="TableNormal"/>
    <w:uiPriority w:val="49"/>
    <w:rsid w:val="0057062A"/>
    <w:pPr>
      <w:spacing w:after="0" w:line="240" w:lineRule="auto"/>
    </w:pPr>
    <w:tblPr>
      <w:tblStyleRowBandSize w:val="1"/>
      <w:tblStyleColBandSize w:val="1"/>
      <w:tblBorders>
        <w:top w:val="single" w:sz="4" w:space="0" w:color="F06C9B" w:themeColor="accent5" w:themeTint="99"/>
        <w:left w:val="single" w:sz="4" w:space="0" w:color="F06C9B" w:themeColor="accent5" w:themeTint="99"/>
        <w:bottom w:val="single" w:sz="4" w:space="0" w:color="F06C9B" w:themeColor="accent5" w:themeTint="99"/>
        <w:right w:val="single" w:sz="4" w:space="0" w:color="F06C9B" w:themeColor="accent5" w:themeTint="99"/>
        <w:insideH w:val="single" w:sz="4" w:space="0" w:color="F06C9B" w:themeColor="accent5" w:themeTint="99"/>
      </w:tblBorders>
    </w:tblPr>
    <w:tblStylePr w:type="firstRow">
      <w:rPr>
        <w:b/>
        <w:bCs/>
        <w:color w:val="FFFFFF" w:themeColor="background1"/>
      </w:rPr>
      <w:tblPr/>
      <w:tcPr>
        <w:tcBorders>
          <w:top w:val="single" w:sz="4" w:space="0" w:color="DC165D" w:themeColor="accent5"/>
          <w:left w:val="single" w:sz="4" w:space="0" w:color="DC165D" w:themeColor="accent5"/>
          <w:bottom w:val="single" w:sz="4" w:space="0" w:color="DC165D" w:themeColor="accent5"/>
          <w:right w:val="single" w:sz="4" w:space="0" w:color="DC165D" w:themeColor="accent5"/>
          <w:insideH w:val="nil"/>
        </w:tcBorders>
        <w:shd w:val="clear" w:color="auto" w:fill="DC165D" w:themeFill="accent5"/>
      </w:tcPr>
    </w:tblStylePr>
    <w:tblStylePr w:type="lastRow">
      <w:rPr>
        <w:b/>
        <w:bCs/>
      </w:rPr>
      <w:tblPr/>
      <w:tcPr>
        <w:tcBorders>
          <w:top w:val="double" w:sz="4" w:space="0" w:color="F06C9B" w:themeColor="accent5" w:themeTint="99"/>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4-Accent6">
    <w:name w:val="List Table 4 Accent 6"/>
    <w:basedOn w:val="TableNormal"/>
    <w:uiPriority w:val="49"/>
    <w:rsid w:val="0057062A"/>
    <w:pPr>
      <w:spacing w:after="0" w:line="240" w:lineRule="auto"/>
    </w:pPr>
    <w:tblPr>
      <w:tblStyleRowBandSize w:val="1"/>
      <w:tblStyleColBandSize w:val="1"/>
      <w:tblBorders>
        <w:top w:val="single" w:sz="4" w:space="0" w:color="AB73D5" w:themeColor="accent6" w:themeTint="99"/>
        <w:left w:val="single" w:sz="4" w:space="0" w:color="AB73D5" w:themeColor="accent6" w:themeTint="99"/>
        <w:bottom w:val="single" w:sz="4" w:space="0" w:color="AB73D5" w:themeColor="accent6" w:themeTint="99"/>
        <w:right w:val="single" w:sz="4" w:space="0" w:color="AB73D5" w:themeColor="accent6" w:themeTint="99"/>
        <w:insideH w:val="single" w:sz="4" w:space="0" w:color="AB73D5" w:themeColor="accent6" w:themeTint="99"/>
      </w:tblBorders>
    </w:tblPr>
    <w:tblStylePr w:type="firstRow">
      <w:rPr>
        <w:b/>
        <w:bCs/>
        <w:color w:val="FFFFFF" w:themeColor="background1"/>
      </w:rPr>
      <w:tblPr/>
      <w:tcPr>
        <w:tcBorders>
          <w:top w:val="single" w:sz="4" w:space="0" w:color="7030A0" w:themeColor="accent6"/>
          <w:left w:val="single" w:sz="4" w:space="0" w:color="7030A0" w:themeColor="accent6"/>
          <w:bottom w:val="single" w:sz="4" w:space="0" w:color="7030A0" w:themeColor="accent6"/>
          <w:right w:val="single" w:sz="4" w:space="0" w:color="7030A0" w:themeColor="accent6"/>
          <w:insideH w:val="nil"/>
        </w:tcBorders>
        <w:shd w:val="clear" w:color="auto" w:fill="7030A0" w:themeFill="accent6"/>
      </w:tcPr>
    </w:tblStylePr>
    <w:tblStylePr w:type="lastRow">
      <w:rPr>
        <w:b/>
        <w:bCs/>
      </w:rPr>
      <w:tblPr/>
      <w:tcPr>
        <w:tcBorders>
          <w:top w:val="double" w:sz="4" w:space="0" w:color="AB73D5" w:themeColor="accent6" w:themeTint="99"/>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5Dark">
    <w:name w:val="List Table 5 Dark"/>
    <w:basedOn w:val="TableNormal"/>
    <w:uiPriority w:val="50"/>
    <w:rsid w:val="0057062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062A"/>
    <w:pPr>
      <w:spacing w:after="0" w:line="240" w:lineRule="auto"/>
    </w:pPr>
    <w:rPr>
      <w:color w:val="FFFFFF" w:themeColor="background1"/>
    </w:rPr>
    <w:tblPr>
      <w:tblStyleRowBandSize w:val="1"/>
      <w:tblStyleColBandSize w:val="1"/>
      <w:tblBorders>
        <w:top w:val="single" w:sz="24" w:space="0" w:color="008139" w:themeColor="accent1"/>
        <w:left w:val="single" w:sz="24" w:space="0" w:color="008139" w:themeColor="accent1"/>
        <w:bottom w:val="single" w:sz="24" w:space="0" w:color="008139" w:themeColor="accent1"/>
        <w:right w:val="single" w:sz="24" w:space="0" w:color="008139" w:themeColor="accent1"/>
      </w:tblBorders>
    </w:tblPr>
    <w:tcPr>
      <w:shd w:val="clear" w:color="auto" w:fill="00813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062A"/>
    <w:pPr>
      <w:spacing w:after="0" w:line="240" w:lineRule="auto"/>
    </w:pPr>
    <w:rPr>
      <w:color w:val="FFFFFF" w:themeColor="background1"/>
    </w:rPr>
    <w:tblPr>
      <w:tblStyleRowBandSize w:val="1"/>
      <w:tblStyleColBandSize w:val="1"/>
      <w:tblBorders>
        <w:top w:val="single" w:sz="24" w:space="0" w:color="DC3903" w:themeColor="accent2"/>
        <w:left w:val="single" w:sz="24" w:space="0" w:color="DC3903" w:themeColor="accent2"/>
        <w:bottom w:val="single" w:sz="24" w:space="0" w:color="DC3903" w:themeColor="accent2"/>
        <w:right w:val="single" w:sz="24" w:space="0" w:color="DC3903" w:themeColor="accent2"/>
      </w:tblBorders>
    </w:tblPr>
    <w:tcPr>
      <w:shd w:val="clear" w:color="auto" w:fill="DC390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062A"/>
    <w:pPr>
      <w:spacing w:after="0" w:line="240" w:lineRule="auto"/>
    </w:pPr>
    <w:rPr>
      <w:color w:val="FFFFFF" w:themeColor="background1"/>
    </w:rPr>
    <w:tblPr>
      <w:tblStyleRowBandSize w:val="1"/>
      <w:tblStyleColBandSize w:val="1"/>
      <w:tblBorders>
        <w:top w:val="single" w:sz="24" w:space="0" w:color="2688FE" w:themeColor="accent3"/>
        <w:left w:val="single" w:sz="24" w:space="0" w:color="2688FE" w:themeColor="accent3"/>
        <w:bottom w:val="single" w:sz="24" w:space="0" w:color="2688FE" w:themeColor="accent3"/>
        <w:right w:val="single" w:sz="24" w:space="0" w:color="2688FE" w:themeColor="accent3"/>
      </w:tblBorders>
    </w:tblPr>
    <w:tcPr>
      <w:shd w:val="clear" w:color="auto" w:fill="2688F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062A"/>
    <w:pPr>
      <w:spacing w:after="0" w:line="240" w:lineRule="auto"/>
    </w:pPr>
    <w:rPr>
      <w:color w:val="FFFFFF" w:themeColor="background1"/>
    </w:rPr>
    <w:tblPr>
      <w:tblStyleRowBandSize w:val="1"/>
      <w:tblStyleColBandSize w:val="1"/>
      <w:tblBorders>
        <w:top w:val="single" w:sz="24" w:space="0" w:color="FDAB07" w:themeColor="accent4"/>
        <w:left w:val="single" w:sz="24" w:space="0" w:color="FDAB07" w:themeColor="accent4"/>
        <w:bottom w:val="single" w:sz="24" w:space="0" w:color="FDAB07" w:themeColor="accent4"/>
        <w:right w:val="single" w:sz="24" w:space="0" w:color="FDAB07" w:themeColor="accent4"/>
      </w:tblBorders>
    </w:tblPr>
    <w:tcPr>
      <w:shd w:val="clear" w:color="auto" w:fill="FDAB0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062A"/>
    <w:pPr>
      <w:spacing w:after="0" w:line="240" w:lineRule="auto"/>
    </w:pPr>
    <w:rPr>
      <w:color w:val="FFFFFF" w:themeColor="background1"/>
    </w:rPr>
    <w:tblPr>
      <w:tblStyleRowBandSize w:val="1"/>
      <w:tblStyleColBandSize w:val="1"/>
      <w:tblBorders>
        <w:top w:val="single" w:sz="24" w:space="0" w:color="DC165D" w:themeColor="accent5"/>
        <w:left w:val="single" w:sz="24" w:space="0" w:color="DC165D" w:themeColor="accent5"/>
        <w:bottom w:val="single" w:sz="24" w:space="0" w:color="DC165D" w:themeColor="accent5"/>
        <w:right w:val="single" w:sz="24" w:space="0" w:color="DC165D" w:themeColor="accent5"/>
      </w:tblBorders>
    </w:tblPr>
    <w:tcPr>
      <w:shd w:val="clear" w:color="auto" w:fill="DC165D"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062A"/>
    <w:pPr>
      <w:spacing w:after="0" w:line="240" w:lineRule="auto"/>
    </w:pPr>
    <w:rPr>
      <w:color w:val="FFFFFF" w:themeColor="background1"/>
    </w:rPr>
    <w:tblPr>
      <w:tblStyleRowBandSize w:val="1"/>
      <w:tblStyleColBandSize w:val="1"/>
      <w:tblBorders>
        <w:top w:val="single" w:sz="24" w:space="0" w:color="7030A0" w:themeColor="accent6"/>
        <w:left w:val="single" w:sz="24" w:space="0" w:color="7030A0" w:themeColor="accent6"/>
        <w:bottom w:val="single" w:sz="24" w:space="0" w:color="7030A0" w:themeColor="accent6"/>
        <w:right w:val="single" w:sz="24" w:space="0" w:color="7030A0" w:themeColor="accent6"/>
      </w:tblBorders>
    </w:tblPr>
    <w:tcPr>
      <w:shd w:val="clear" w:color="auto" w:fill="7030A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062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062A"/>
    <w:pPr>
      <w:spacing w:after="0" w:line="240" w:lineRule="auto"/>
    </w:pPr>
    <w:rPr>
      <w:color w:val="00602A" w:themeColor="accent1" w:themeShade="BF"/>
    </w:rPr>
    <w:tblPr>
      <w:tblStyleRowBandSize w:val="1"/>
      <w:tblStyleColBandSize w:val="1"/>
      <w:tblBorders>
        <w:top w:val="single" w:sz="4" w:space="0" w:color="008139" w:themeColor="accent1"/>
        <w:bottom w:val="single" w:sz="4" w:space="0" w:color="008139" w:themeColor="accent1"/>
      </w:tblBorders>
    </w:tblPr>
    <w:tblStylePr w:type="firstRow">
      <w:rPr>
        <w:b/>
        <w:bCs/>
      </w:rPr>
      <w:tblPr/>
      <w:tcPr>
        <w:tcBorders>
          <w:bottom w:val="single" w:sz="4" w:space="0" w:color="008139" w:themeColor="accent1"/>
        </w:tcBorders>
      </w:tcPr>
    </w:tblStylePr>
    <w:tblStylePr w:type="lastRow">
      <w:rPr>
        <w:b/>
        <w:bCs/>
      </w:rPr>
      <w:tblPr/>
      <w:tcPr>
        <w:tcBorders>
          <w:top w:val="double" w:sz="4" w:space="0" w:color="008139" w:themeColor="accent1"/>
        </w:tcBorders>
      </w:tcPr>
    </w:tblStylePr>
    <w:tblStylePr w:type="firstCol">
      <w:rPr>
        <w:b/>
        <w:bCs/>
      </w:rPr>
    </w:tblStylePr>
    <w:tblStylePr w:type="lastCol">
      <w:rPr>
        <w:b/>
        <w:bCs/>
      </w:rPr>
    </w:tblStylePr>
    <w:tblStylePr w:type="band1Vert">
      <w:tblPr/>
      <w:tcPr>
        <w:shd w:val="clear" w:color="auto" w:fill="B2FFD4" w:themeFill="accent1" w:themeFillTint="33"/>
      </w:tcPr>
    </w:tblStylePr>
    <w:tblStylePr w:type="band1Horz">
      <w:tblPr/>
      <w:tcPr>
        <w:shd w:val="clear" w:color="auto" w:fill="B2FFD4" w:themeFill="accent1" w:themeFillTint="33"/>
      </w:tcPr>
    </w:tblStylePr>
  </w:style>
  <w:style w:type="table" w:styleId="ListTable6Colorful-Accent2">
    <w:name w:val="List Table 6 Colorful Accent 2"/>
    <w:basedOn w:val="TableNormal"/>
    <w:uiPriority w:val="51"/>
    <w:rsid w:val="0057062A"/>
    <w:pPr>
      <w:spacing w:after="0" w:line="240" w:lineRule="auto"/>
    </w:pPr>
    <w:rPr>
      <w:color w:val="A42A02" w:themeColor="accent2" w:themeShade="BF"/>
    </w:rPr>
    <w:tblPr>
      <w:tblStyleRowBandSize w:val="1"/>
      <w:tblStyleColBandSize w:val="1"/>
      <w:tblBorders>
        <w:top w:val="single" w:sz="4" w:space="0" w:color="DC3903" w:themeColor="accent2"/>
        <w:bottom w:val="single" w:sz="4" w:space="0" w:color="DC3903" w:themeColor="accent2"/>
      </w:tblBorders>
    </w:tblPr>
    <w:tblStylePr w:type="firstRow">
      <w:rPr>
        <w:b/>
        <w:bCs/>
      </w:rPr>
      <w:tblPr/>
      <w:tcPr>
        <w:tcBorders>
          <w:bottom w:val="single" w:sz="4" w:space="0" w:color="DC3903" w:themeColor="accent2"/>
        </w:tcBorders>
      </w:tcPr>
    </w:tblStylePr>
    <w:tblStylePr w:type="lastRow">
      <w:rPr>
        <w:b/>
        <w:bCs/>
      </w:rPr>
      <w:tblPr/>
      <w:tcPr>
        <w:tcBorders>
          <w:top w:val="double" w:sz="4" w:space="0" w:color="DC3903" w:themeColor="accent2"/>
        </w:tcBorders>
      </w:tcPr>
    </w:tblStylePr>
    <w:tblStylePr w:type="firstCol">
      <w:rPr>
        <w:b/>
        <w:bCs/>
      </w:rPr>
    </w:tblStylePr>
    <w:tblStylePr w:type="lastCol">
      <w:rPr>
        <w:b/>
        <w:bCs/>
      </w:rPr>
    </w:tblStylePr>
    <w:tblStylePr w:type="band1Vert">
      <w:tblPr/>
      <w:tcPr>
        <w:shd w:val="clear" w:color="auto" w:fill="FED3C6" w:themeFill="accent2" w:themeFillTint="33"/>
      </w:tcPr>
    </w:tblStylePr>
    <w:tblStylePr w:type="band1Horz">
      <w:tblPr/>
      <w:tcPr>
        <w:shd w:val="clear" w:color="auto" w:fill="FED3C6" w:themeFill="accent2" w:themeFillTint="33"/>
      </w:tcPr>
    </w:tblStylePr>
  </w:style>
  <w:style w:type="table" w:styleId="ListTable6Colorful-Accent3">
    <w:name w:val="List Table 6 Colorful Accent 3"/>
    <w:basedOn w:val="TableNormal"/>
    <w:uiPriority w:val="51"/>
    <w:rsid w:val="0057062A"/>
    <w:pPr>
      <w:spacing w:after="0" w:line="240" w:lineRule="auto"/>
    </w:pPr>
    <w:rPr>
      <w:color w:val="0162D9" w:themeColor="accent3" w:themeShade="BF"/>
    </w:rPr>
    <w:tblPr>
      <w:tblStyleRowBandSize w:val="1"/>
      <w:tblStyleColBandSize w:val="1"/>
      <w:tblBorders>
        <w:top w:val="single" w:sz="4" w:space="0" w:color="2688FE" w:themeColor="accent3"/>
        <w:bottom w:val="single" w:sz="4" w:space="0" w:color="2688FE" w:themeColor="accent3"/>
      </w:tblBorders>
    </w:tblPr>
    <w:tblStylePr w:type="firstRow">
      <w:rPr>
        <w:b/>
        <w:bCs/>
      </w:rPr>
      <w:tblPr/>
      <w:tcPr>
        <w:tcBorders>
          <w:bottom w:val="single" w:sz="4" w:space="0" w:color="2688FE" w:themeColor="accent3"/>
        </w:tcBorders>
      </w:tcPr>
    </w:tblStylePr>
    <w:tblStylePr w:type="lastRow">
      <w:rPr>
        <w:b/>
        <w:bCs/>
      </w:rPr>
      <w:tblPr/>
      <w:tcPr>
        <w:tcBorders>
          <w:top w:val="double" w:sz="4" w:space="0" w:color="2688FE" w:themeColor="accent3"/>
        </w:tcBorders>
      </w:tcPr>
    </w:tblStylePr>
    <w:tblStylePr w:type="firstCol">
      <w:rPr>
        <w:b/>
        <w:bCs/>
      </w:rPr>
    </w:tblStylePr>
    <w:tblStylePr w:type="lastCol">
      <w:rPr>
        <w:b/>
        <w:bCs/>
      </w:rPr>
    </w:tblStylePr>
    <w:tblStylePr w:type="band1Vert">
      <w:tblPr/>
      <w:tcPr>
        <w:shd w:val="clear" w:color="auto" w:fill="D3E7FE" w:themeFill="accent3" w:themeFillTint="33"/>
      </w:tcPr>
    </w:tblStylePr>
    <w:tblStylePr w:type="band1Horz">
      <w:tblPr/>
      <w:tcPr>
        <w:shd w:val="clear" w:color="auto" w:fill="D3E7FE" w:themeFill="accent3" w:themeFillTint="33"/>
      </w:tcPr>
    </w:tblStylePr>
  </w:style>
  <w:style w:type="table" w:styleId="ListTable6Colorful-Accent4">
    <w:name w:val="List Table 6 Colorful Accent 4"/>
    <w:basedOn w:val="TableNormal"/>
    <w:uiPriority w:val="51"/>
    <w:rsid w:val="0057062A"/>
    <w:pPr>
      <w:spacing w:after="0" w:line="240" w:lineRule="auto"/>
    </w:pPr>
    <w:rPr>
      <w:color w:val="C18101" w:themeColor="accent4" w:themeShade="BF"/>
    </w:rPr>
    <w:tblPr>
      <w:tblStyleRowBandSize w:val="1"/>
      <w:tblStyleColBandSize w:val="1"/>
      <w:tblBorders>
        <w:top w:val="single" w:sz="4" w:space="0" w:color="FDAB07" w:themeColor="accent4"/>
        <w:bottom w:val="single" w:sz="4" w:space="0" w:color="FDAB07" w:themeColor="accent4"/>
      </w:tblBorders>
    </w:tblPr>
    <w:tblStylePr w:type="firstRow">
      <w:rPr>
        <w:b/>
        <w:bCs/>
      </w:rPr>
      <w:tblPr/>
      <w:tcPr>
        <w:tcBorders>
          <w:bottom w:val="single" w:sz="4" w:space="0" w:color="FDAB07" w:themeColor="accent4"/>
        </w:tcBorders>
      </w:tcPr>
    </w:tblStylePr>
    <w:tblStylePr w:type="lastRow">
      <w:rPr>
        <w:b/>
        <w:bCs/>
      </w:rPr>
      <w:tblPr/>
      <w:tcPr>
        <w:tcBorders>
          <w:top w:val="double" w:sz="4" w:space="0" w:color="FDAB07" w:themeColor="accent4"/>
        </w:tcBorders>
      </w:tcPr>
    </w:tblStylePr>
    <w:tblStylePr w:type="firstCol">
      <w:rPr>
        <w:b/>
        <w:bCs/>
      </w:rPr>
    </w:tblStylePr>
    <w:tblStylePr w:type="lastCol">
      <w:rPr>
        <w:b/>
        <w:bCs/>
      </w:rPr>
    </w:tblStylePr>
    <w:tblStylePr w:type="band1Vert">
      <w:tblPr/>
      <w:tcPr>
        <w:shd w:val="clear" w:color="auto" w:fill="FEEECD" w:themeFill="accent4" w:themeFillTint="33"/>
      </w:tcPr>
    </w:tblStylePr>
    <w:tblStylePr w:type="band1Horz">
      <w:tblPr/>
      <w:tcPr>
        <w:shd w:val="clear" w:color="auto" w:fill="FEEECD" w:themeFill="accent4" w:themeFillTint="33"/>
      </w:tcPr>
    </w:tblStylePr>
  </w:style>
  <w:style w:type="table" w:styleId="ListTable6Colorful-Accent5">
    <w:name w:val="List Table 6 Colorful Accent 5"/>
    <w:basedOn w:val="TableNormal"/>
    <w:uiPriority w:val="51"/>
    <w:rsid w:val="0057062A"/>
    <w:pPr>
      <w:spacing w:after="0" w:line="240" w:lineRule="auto"/>
    </w:pPr>
    <w:rPr>
      <w:color w:val="A41045" w:themeColor="accent5" w:themeShade="BF"/>
    </w:rPr>
    <w:tblPr>
      <w:tblStyleRowBandSize w:val="1"/>
      <w:tblStyleColBandSize w:val="1"/>
      <w:tblBorders>
        <w:top w:val="single" w:sz="4" w:space="0" w:color="DC165D" w:themeColor="accent5"/>
        <w:bottom w:val="single" w:sz="4" w:space="0" w:color="DC165D" w:themeColor="accent5"/>
      </w:tblBorders>
    </w:tblPr>
    <w:tblStylePr w:type="firstRow">
      <w:rPr>
        <w:b/>
        <w:bCs/>
      </w:rPr>
      <w:tblPr/>
      <w:tcPr>
        <w:tcBorders>
          <w:bottom w:val="single" w:sz="4" w:space="0" w:color="DC165D" w:themeColor="accent5"/>
        </w:tcBorders>
      </w:tcPr>
    </w:tblStylePr>
    <w:tblStylePr w:type="lastRow">
      <w:rPr>
        <w:b/>
        <w:bCs/>
      </w:rPr>
      <w:tblPr/>
      <w:tcPr>
        <w:tcBorders>
          <w:top w:val="double" w:sz="4" w:space="0" w:color="DC165D" w:themeColor="accent5"/>
        </w:tcBorders>
      </w:tcPr>
    </w:tblStylePr>
    <w:tblStylePr w:type="firstCol">
      <w:rPr>
        <w:b/>
        <w:bCs/>
      </w:rPr>
    </w:tblStylePr>
    <w:tblStylePr w:type="lastCol">
      <w:rPr>
        <w:b/>
        <w:bCs/>
      </w:rPr>
    </w:tblStylePr>
    <w:tblStylePr w:type="band1Vert">
      <w:tblPr/>
      <w:tcPr>
        <w:shd w:val="clear" w:color="auto" w:fill="FACEDD" w:themeFill="accent5" w:themeFillTint="33"/>
      </w:tcPr>
    </w:tblStylePr>
    <w:tblStylePr w:type="band1Horz">
      <w:tblPr/>
      <w:tcPr>
        <w:shd w:val="clear" w:color="auto" w:fill="FACEDD" w:themeFill="accent5" w:themeFillTint="33"/>
      </w:tcPr>
    </w:tblStylePr>
  </w:style>
  <w:style w:type="table" w:styleId="ListTable6Colorful-Accent6">
    <w:name w:val="List Table 6 Colorful Accent 6"/>
    <w:basedOn w:val="TableNormal"/>
    <w:uiPriority w:val="51"/>
    <w:rsid w:val="0057062A"/>
    <w:pPr>
      <w:spacing w:after="0" w:line="240" w:lineRule="auto"/>
    </w:pPr>
    <w:rPr>
      <w:color w:val="532477" w:themeColor="accent6" w:themeShade="BF"/>
    </w:rPr>
    <w:tblPr>
      <w:tblStyleRowBandSize w:val="1"/>
      <w:tblStyleColBandSize w:val="1"/>
      <w:tblBorders>
        <w:top w:val="single" w:sz="4" w:space="0" w:color="7030A0" w:themeColor="accent6"/>
        <w:bottom w:val="single" w:sz="4" w:space="0" w:color="7030A0" w:themeColor="accent6"/>
      </w:tblBorders>
    </w:tblPr>
    <w:tblStylePr w:type="firstRow">
      <w:rPr>
        <w:b/>
        <w:bCs/>
      </w:rPr>
      <w:tblPr/>
      <w:tcPr>
        <w:tcBorders>
          <w:bottom w:val="single" w:sz="4" w:space="0" w:color="7030A0" w:themeColor="accent6"/>
        </w:tcBorders>
      </w:tcPr>
    </w:tblStylePr>
    <w:tblStylePr w:type="lastRow">
      <w:rPr>
        <w:b/>
        <w:bCs/>
      </w:rPr>
      <w:tblPr/>
      <w:tcPr>
        <w:tcBorders>
          <w:top w:val="double" w:sz="4" w:space="0" w:color="7030A0" w:themeColor="accent6"/>
        </w:tcBorders>
      </w:tcPr>
    </w:tblStylePr>
    <w:tblStylePr w:type="firstCol">
      <w:rPr>
        <w:b/>
        <w:bCs/>
      </w:rPr>
    </w:tblStylePr>
    <w:tblStylePr w:type="lastCol">
      <w:rPr>
        <w:b/>
        <w:bCs/>
      </w:rPr>
    </w:tblStylePr>
    <w:tblStylePr w:type="band1Vert">
      <w:tblPr/>
      <w:tcPr>
        <w:shd w:val="clear" w:color="auto" w:fill="E2D0F1" w:themeFill="accent6" w:themeFillTint="33"/>
      </w:tcPr>
    </w:tblStylePr>
    <w:tblStylePr w:type="band1Horz">
      <w:tblPr/>
      <w:tcPr>
        <w:shd w:val="clear" w:color="auto" w:fill="E2D0F1" w:themeFill="accent6" w:themeFillTint="33"/>
      </w:tcPr>
    </w:tblStylePr>
  </w:style>
  <w:style w:type="table" w:styleId="ListTable7Colorful">
    <w:name w:val="List Table 7 Colorful"/>
    <w:basedOn w:val="TableNormal"/>
    <w:uiPriority w:val="52"/>
    <w:rsid w:val="0057062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062A"/>
    <w:pPr>
      <w:spacing w:after="0" w:line="240" w:lineRule="auto"/>
    </w:pPr>
    <w:rPr>
      <w:color w:val="00602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13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13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13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139" w:themeColor="accent1"/>
        </w:tcBorders>
        <w:shd w:val="clear" w:color="auto" w:fill="FFFFFF" w:themeFill="background1"/>
      </w:tcPr>
    </w:tblStylePr>
    <w:tblStylePr w:type="band1Vert">
      <w:tblPr/>
      <w:tcPr>
        <w:shd w:val="clear" w:color="auto" w:fill="B2FFD4" w:themeFill="accent1" w:themeFillTint="33"/>
      </w:tcPr>
    </w:tblStylePr>
    <w:tblStylePr w:type="band1Horz">
      <w:tblPr/>
      <w:tcPr>
        <w:shd w:val="clear" w:color="auto" w:fill="B2FFD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062A"/>
    <w:pPr>
      <w:spacing w:after="0" w:line="240" w:lineRule="auto"/>
    </w:pPr>
    <w:rPr>
      <w:color w:val="A42A0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390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390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390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3903" w:themeColor="accent2"/>
        </w:tcBorders>
        <w:shd w:val="clear" w:color="auto" w:fill="FFFFFF" w:themeFill="background1"/>
      </w:tcPr>
    </w:tblStylePr>
    <w:tblStylePr w:type="band1Vert">
      <w:tblPr/>
      <w:tcPr>
        <w:shd w:val="clear" w:color="auto" w:fill="FED3C6" w:themeFill="accent2" w:themeFillTint="33"/>
      </w:tcPr>
    </w:tblStylePr>
    <w:tblStylePr w:type="band1Horz">
      <w:tblPr/>
      <w:tcPr>
        <w:shd w:val="clear" w:color="auto" w:fill="FED3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062A"/>
    <w:pPr>
      <w:spacing w:after="0" w:line="240" w:lineRule="auto"/>
    </w:pPr>
    <w:rPr>
      <w:color w:val="0162D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88F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88F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88F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88FE" w:themeColor="accent3"/>
        </w:tcBorders>
        <w:shd w:val="clear" w:color="auto" w:fill="FFFFFF" w:themeFill="background1"/>
      </w:tcPr>
    </w:tblStylePr>
    <w:tblStylePr w:type="band1Vert">
      <w:tblPr/>
      <w:tcPr>
        <w:shd w:val="clear" w:color="auto" w:fill="D3E7FE" w:themeFill="accent3" w:themeFillTint="33"/>
      </w:tcPr>
    </w:tblStylePr>
    <w:tblStylePr w:type="band1Horz">
      <w:tblPr/>
      <w:tcPr>
        <w:shd w:val="clear" w:color="auto" w:fill="D3E7F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062A"/>
    <w:pPr>
      <w:spacing w:after="0" w:line="240" w:lineRule="auto"/>
    </w:pPr>
    <w:rPr>
      <w:color w:val="C1810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DAB0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AB0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AB0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AB07" w:themeColor="accent4"/>
        </w:tcBorders>
        <w:shd w:val="clear" w:color="auto" w:fill="FFFFFF" w:themeFill="background1"/>
      </w:tcPr>
    </w:tblStylePr>
    <w:tblStylePr w:type="band1Vert">
      <w:tblPr/>
      <w:tcPr>
        <w:shd w:val="clear" w:color="auto" w:fill="FEEECD" w:themeFill="accent4" w:themeFillTint="33"/>
      </w:tcPr>
    </w:tblStylePr>
    <w:tblStylePr w:type="band1Horz">
      <w:tblPr/>
      <w:tcPr>
        <w:shd w:val="clear" w:color="auto" w:fill="FEEE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062A"/>
    <w:pPr>
      <w:spacing w:after="0" w:line="240" w:lineRule="auto"/>
    </w:pPr>
    <w:rPr>
      <w:color w:val="A4104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C165D"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C165D"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C165D"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C165D" w:themeColor="accent5"/>
        </w:tcBorders>
        <w:shd w:val="clear" w:color="auto" w:fill="FFFFFF" w:themeFill="background1"/>
      </w:tcPr>
    </w:tblStylePr>
    <w:tblStylePr w:type="band1Vert">
      <w:tblPr/>
      <w:tcPr>
        <w:shd w:val="clear" w:color="auto" w:fill="FACEDD" w:themeFill="accent5" w:themeFillTint="33"/>
      </w:tcPr>
    </w:tblStylePr>
    <w:tblStylePr w:type="band1Horz">
      <w:tblPr/>
      <w:tcPr>
        <w:shd w:val="clear" w:color="auto" w:fill="FAC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062A"/>
    <w:pPr>
      <w:spacing w:after="0" w:line="240" w:lineRule="auto"/>
    </w:pPr>
    <w:rPr>
      <w:color w:val="53247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30A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30A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30A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30A0" w:themeColor="accent6"/>
        </w:tcBorders>
        <w:shd w:val="clear" w:color="auto" w:fill="FFFFFF" w:themeFill="background1"/>
      </w:tcPr>
    </w:tblStylePr>
    <w:tblStylePr w:type="band1Vert">
      <w:tblPr/>
      <w:tcPr>
        <w:shd w:val="clear" w:color="auto" w:fill="E2D0F1" w:themeFill="accent6" w:themeFillTint="33"/>
      </w:tcPr>
    </w:tblStylePr>
    <w:tblStylePr w:type="band1Horz">
      <w:tblPr/>
      <w:tcPr>
        <w:shd w:val="clear" w:color="auto" w:fill="E2D0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57062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062A"/>
    <w:pPr>
      <w:spacing w:after="0" w:line="240" w:lineRule="auto"/>
    </w:p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insideV w:val="single" w:sz="8" w:space="0" w:color="00E062" w:themeColor="accent1" w:themeTint="BF"/>
      </w:tblBorders>
    </w:tblPr>
    <w:tcPr>
      <w:shd w:val="clear" w:color="auto" w:fill="A0FFCA" w:themeFill="accent1" w:themeFillTint="3F"/>
    </w:tcPr>
    <w:tblStylePr w:type="firstRow">
      <w:rPr>
        <w:b/>
        <w:bCs/>
      </w:rPr>
    </w:tblStylePr>
    <w:tblStylePr w:type="lastRow">
      <w:rPr>
        <w:b/>
        <w:bCs/>
      </w:rPr>
      <w:tblPr/>
      <w:tcPr>
        <w:tcBorders>
          <w:top w:val="single" w:sz="18" w:space="0" w:color="00E062" w:themeColor="accent1" w:themeTint="BF"/>
        </w:tcBorders>
      </w:tcPr>
    </w:tblStylePr>
    <w:tblStylePr w:type="firstCol">
      <w:rPr>
        <w:b/>
        <w:bCs/>
      </w:rPr>
    </w:tblStylePr>
    <w:tblStylePr w:type="lastCol">
      <w:rPr>
        <w:b/>
        <w:bCs/>
      </w:rPr>
    </w:tblStylePr>
    <w:tblStylePr w:type="band1Vert">
      <w:tblPr/>
      <w:tcPr>
        <w:shd w:val="clear" w:color="auto" w:fill="41FF94" w:themeFill="accent1" w:themeFillTint="7F"/>
      </w:tcPr>
    </w:tblStylePr>
    <w:tblStylePr w:type="band1Horz">
      <w:tblPr/>
      <w:tcPr>
        <w:shd w:val="clear" w:color="auto" w:fill="41FF94" w:themeFill="accent1" w:themeFillTint="7F"/>
      </w:tcPr>
    </w:tblStylePr>
  </w:style>
  <w:style w:type="table" w:styleId="MediumGrid1-Accent2">
    <w:name w:val="Medium Grid 1 Accent 2"/>
    <w:basedOn w:val="TableNormal"/>
    <w:uiPriority w:val="67"/>
    <w:semiHidden/>
    <w:unhideWhenUsed/>
    <w:rsid w:val="0057062A"/>
    <w:pPr>
      <w:spacing w:after="0" w:line="240" w:lineRule="auto"/>
    </w:pPr>
    <w:tblPr>
      <w:tblStyleRowBandSize w:val="1"/>
      <w:tblStyleColBandSize w:val="1"/>
      <w:tblBorders>
        <w:top w:val="single" w:sz="8" w:space="0" w:color="FC5E2A" w:themeColor="accent2" w:themeTint="BF"/>
        <w:left w:val="single" w:sz="8" w:space="0" w:color="FC5E2A" w:themeColor="accent2" w:themeTint="BF"/>
        <w:bottom w:val="single" w:sz="8" w:space="0" w:color="FC5E2A" w:themeColor="accent2" w:themeTint="BF"/>
        <w:right w:val="single" w:sz="8" w:space="0" w:color="FC5E2A" w:themeColor="accent2" w:themeTint="BF"/>
        <w:insideH w:val="single" w:sz="8" w:space="0" w:color="FC5E2A" w:themeColor="accent2" w:themeTint="BF"/>
        <w:insideV w:val="single" w:sz="8" w:space="0" w:color="FC5E2A" w:themeColor="accent2" w:themeTint="BF"/>
      </w:tblBorders>
    </w:tblPr>
    <w:tcPr>
      <w:shd w:val="clear" w:color="auto" w:fill="FEC9B8" w:themeFill="accent2" w:themeFillTint="3F"/>
    </w:tcPr>
    <w:tblStylePr w:type="firstRow">
      <w:rPr>
        <w:b/>
        <w:bCs/>
      </w:rPr>
    </w:tblStylePr>
    <w:tblStylePr w:type="lastRow">
      <w:rPr>
        <w:b/>
        <w:bCs/>
      </w:rPr>
      <w:tblPr/>
      <w:tcPr>
        <w:tcBorders>
          <w:top w:val="single" w:sz="18" w:space="0" w:color="FC5E2A" w:themeColor="accent2" w:themeTint="BF"/>
        </w:tcBorders>
      </w:tcPr>
    </w:tblStylePr>
    <w:tblStylePr w:type="firstCol">
      <w:rPr>
        <w:b/>
        <w:bCs/>
      </w:rPr>
    </w:tblStylePr>
    <w:tblStylePr w:type="lastCol">
      <w:rPr>
        <w:b/>
        <w:bCs/>
      </w:rPr>
    </w:tblStylePr>
    <w:tblStylePr w:type="band1Vert">
      <w:tblPr/>
      <w:tcPr>
        <w:shd w:val="clear" w:color="auto" w:fill="FD9471" w:themeFill="accent2" w:themeFillTint="7F"/>
      </w:tcPr>
    </w:tblStylePr>
    <w:tblStylePr w:type="band1Horz">
      <w:tblPr/>
      <w:tcPr>
        <w:shd w:val="clear" w:color="auto" w:fill="FD9471" w:themeFill="accent2" w:themeFillTint="7F"/>
      </w:tcPr>
    </w:tblStylePr>
  </w:style>
  <w:style w:type="table" w:styleId="MediumGrid1-Accent3">
    <w:name w:val="Medium Grid 1 Accent 3"/>
    <w:basedOn w:val="TableNormal"/>
    <w:uiPriority w:val="67"/>
    <w:semiHidden/>
    <w:unhideWhenUsed/>
    <w:rsid w:val="0057062A"/>
    <w:pPr>
      <w:spacing w:after="0" w:line="240" w:lineRule="auto"/>
    </w:p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insideV w:val="single" w:sz="8" w:space="0" w:color="5CA5FE" w:themeColor="accent3" w:themeTint="BF"/>
      </w:tblBorders>
    </w:tblPr>
    <w:tcPr>
      <w:shd w:val="clear" w:color="auto" w:fill="C9E1FE" w:themeFill="accent3" w:themeFillTint="3F"/>
    </w:tcPr>
    <w:tblStylePr w:type="firstRow">
      <w:rPr>
        <w:b/>
        <w:bCs/>
      </w:rPr>
    </w:tblStylePr>
    <w:tblStylePr w:type="lastRow">
      <w:rPr>
        <w:b/>
        <w:bCs/>
      </w:rPr>
      <w:tblPr/>
      <w:tcPr>
        <w:tcBorders>
          <w:top w:val="single" w:sz="18" w:space="0" w:color="5CA5FE" w:themeColor="accent3" w:themeTint="BF"/>
        </w:tcBorders>
      </w:tcPr>
    </w:tblStylePr>
    <w:tblStylePr w:type="firstCol">
      <w:rPr>
        <w:b/>
        <w:bCs/>
      </w:rPr>
    </w:tblStylePr>
    <w:tblStylePr w:type="lastCol">
      <w:rPr>
        <w:b/>
        <w:bCs/>
      </w:rPr>
    </w:tblStylePr>
    <w:tblStylePr w:type="band1Vert">
      <w:tblPr/>
      <w:tcPr>
        <w:shd w:val="clear" w:color="auto" w:fill="92C3FE" w:themeFill="accent3" w:themeFillTint="7F"/>
      </w:tcPr>
    </w:tblStylePr>
    <w:tblStylePr w:type="band1Horz">
      <w:tblPr/>
      <w:tcPr>
        <w:shd w:val="clear" w:color="auto" w:fill="92C3FE" w:themeFill="accent3" w:themeFillTint="7F"/>
      </w:tcPr>
    </w:tblStylePr>
  </w:style>
  <w:style w:type="table" w:styleId="MediumGrid1-Accent4">
    <w:name w:val="Medium Grid 1 Accent 4"/>
    <w:basedOn w:val="TableNormal"/>
    <w:uiPriority w:val="67"/>
    <w:semiHidden/>
    <w:unhideWhenUsed/>
    <w:rsid w:val="0057062A"/>
    <w:pPr>
      <w:spacing w:after="0" w:line="240" w:lineRule="auto"/>
    </w:p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insideV w:val="single" w:sz="8" w:space="0" w:color="FDC045" w:themeColor="accent4" w:themeTint="BF"/>
      </w:tblBorders>
    </w:tblPr>
    <w:tcPr>
      <w:shd w:val="clear" w:color="auto" w:fill="FEEAC1" w:themeFill="accent4" w:themeFillTint="3F"/>
    </w:tcPr>
    <w:tblStylePr w:type="firstRow">
      <w:rPr>
        <w:b/>
        <w:bCs/>
      </w:rPr>
    </w:tblStylePr>
    <w:tblStylePr w:type="lastRow">
      <w:rPr>
        <w:b/>
        <w:bCs/>
      </w:rPr>
      <w:tblPr/>
      <w:tcPr>
        <w:tcBorders>
          <w:top w:val="single" w:sz="18" w:space="0" w:color="FDC045" w:themeColor="accent4" w:themeTint="BF"/>
        </w:tcBorders>
      </w:tcPr>
    </w:tblStylePr>
    <w:tblStylePr w:type="firstCol">
      <w:rPr>
        <w:b/>
        <w:bCs/>
      </w:rPr>
    </w:tblStylePr>
    <w:tblStylePr w:type="lastCol">
      <w:rPr>
        <w:b/>
        <w:bCs/>
      </w:rPr>
    </w:tblStylePr>
    <w:tblStylePr w:type="band1Vert">
      <w:tblPr/>
      <w:tcPr>
        <w:shd w:val="clear" w:color="auto" w:fill="FED583" w:themeFill="accent4" w:themeFillTint="7F"/>
      </w:tcPr>
    </w:tblStylePr>
    <w:tblStylePr w:type="band1Horz">
      <w:tblPr/>
      <w:tcPr>
        <w:shd w:val="clear" w:color="auto" w:fill="FED583" w:themeFill="accent4" w:themeFillTint="7F"/>
      </w:tcPr>
    </w:tblStylePr>
  </w:style>
  <w:style w:type="table" w:styleId="MediumGrid1-Accent5">
    <w:name w:val="Medium Grid 1 Accent 5"/>
    <w:basedOn w:val="TableNormal"/>
    <w:uiPriority w:val="67"/>
    <w:semiHidden/>
    <w:unhideWhenUsed/>
    <w:rsid w:val="0057062A"/>
    <w:pPr>
      <w:spacing w:after="0" w:line="240" w:lineRule="auto"/>
    </w:p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insideV w:val="single" w:sz="8" w:space="0" w:color="EC4882" w:themeColor="accent5" w:themeTint="BF"/>
      </w:tblBorders>
    </w:tblPr>
    <w:tcPr>
      <w:shd w:val="clear" w:color="auto" w:fill="F9C2D6" w:themeFill="accent5" w:themeFillTint="3F"/>
    </w:tcPr>
    <w:tblStylePr w:type="firstRow">
      <w:rPr>
        <w:b/>
        <w:bCs/>
      </w:rPr>
    </w:tblStylePr>
    <w:tblStylePr w:type="lastRow">
      <w:rPr>
        <w:b/>
        <w:bCs/>
      </w:rPr>
      <w:tblPr/>
      <w:tcPr>
        <w:tcBorders>
          <w:top w:val="single" w:sz="18" w:space="0" w:color="EC4882" w:themeColor="accent5" w:themeTint="BF"/>
        </w:tcBorders>
      </w:tcPr>
    </w:tblStylePr>
    <w:tblStylePr w:type="firstCol">
      <w:rPr>
        <w:b/>
        <w:bCs/>
      </w:rPr>
    </w:tblStylePr>
    <w:tblStylePr w:type="lastCol">
      <w:rPr>
        <w:b/>
        <w:bCs/>
      </w:rPr>
    </w:tblStylePr>
    <w:tblStylePr w:type="band1Vert">
      <w:tblPr/>
      <w:tcPr>
        <w:shd w:val="clear" w:color="auto" w:fill="F285AC" w:themeFill="accent5" w:themeFillTint="7F"/>
      </w:tcPr>
    </w:tblStylePr>
    <w:tblStylePr w:type="band1Horz">
      <w:tblPr/>
      <w:tcPr>
        <w:shd w:val="clear" w:color="auto" w:fill="F285AC" w:themeFill="accent5" w:themeFillTint="7F"/>
      </w:tcPr>
    </w:tblStylePr>
  </w:style>
  <w:style w:type="table" w:styleId="MediumGrid1-Accent6">
    <w:name w:val="Medium Grid 1 Accent 6"/>
    <w:basedOn w:val="TableNormal"/>
    <w:uiPriority w:val="67"/>
    <w:semiHidden/>
    <w:unhideWhenUsed/>
    <w:rsid w:val="0057062A"/>
    <w:pPr>
      <w:spacing w:after="0" w:line="240" w:lineRule="auto"/>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insideV w:val="single" w:sz="8" w:space="0" w:color="9650CA" w:themeColor="accent6" w:themeTint="BF"/>
      </w:tblBorders>
    </w:tblPr>
    <w:tcPr>
      <w:shd w:val="clear" w:color="auto" w:fill="DCC5ED" w:themeFill="accent6" w:themeFillTint="3F"/>
    </w:tcPr>
    <w:tblStylePr w:type="firstRow">
      <w:rPr>
        <w:b/>
        <w:bCs/>
      </w:rPr>
    </w:tblStylePr>
    <w:tblStylePr w:type="lastRow">
      <w:rPr>
        <w:b/>
        <w:bCs/>
      </w:rPr>
      <w:tblPr/>
      <w:tcPr>
        <w:tcBorders>
          <w:top w:val="single" w:sz="18" w:space="0" w:color="9650CA" w:themeColor="accent6" w:themeTint="BF"/>
        </w:tcBorders>
      </w:tcPr>
    </w:tblStylePr>
    <w:tblStylePr w:type="firstCol">
      <w:rPr>
        <w:b/>
        <w:bCs/>
      </w:rPr>
    </w:tblStylePr>
    <w:tblStylePr w:type="lastCol">
      <w:rPr>
        <w:b/>
        <w:bCs/>
      </w:rPr>
    </w:tblStylePr>
    <w:tblStylePr w:type="band1Vert">
      <w:tblPr/>
      <w:tcPr>
        <w:shd w:val="clear" w:color="auto" w:fill="B98BDC" w:themeFill="accent6" w:themeFillTint="7F"/>
      </w:tcPr>
    </w:tblStylePr>
    <w:tblStylePr w:type="band1Horz">
      <w:tblPr/>
      <w:tcPr>
        <w:shd w:val="clear" w:color="auto" w:fill="B98BDC" w:themeFill="accent6" w:themeFillTint="7F"/>
      </w:tcPr>
    </w:tblStylePr>
  </w:style>
  <w:style w:type="table" w:styleId="MediumGrid2">
    <w:name w:val="Medium Grid 2"/>
    <w:basedOn w:val="TableNormal"/>
    <w:uiPriority w:val="68"/>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insideH w:val="single" w:sz="8" w:space="0" w:color="008139" w:themeColor="accent1"/>
        <w:insideV w:val="single" w:sz="8" w:space="0" w:color="008139" w:themeColor="accent1"/>
      </w:tblBorders>
    </w:tblPr>
    <w:tcPr>
      <w:shd w:val="clear" w:color="auto" w:fill="A0FFCA" w:themeFill="accent1" w:themeFillTint="3F"/>
    </w:tcPr>
    <w:tblStylePr w:type="firstRow">
      <w:rPr>
        <w:b/>
        <w:bCs/>
        <w:color w:val="000000" w:themeColor="text1"/>
      </w:rPr>
      <w:tblPr/>
      <w:tcPr>
        <w:shd w:val="clear" w:color="auto" w:fill="D9FF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FD4" w:themeFill="accent1" w:themeFillTint="33"/>
      </w:tcPr>
    </w:tblStylePr>
    <w:tblStylePr w:type="band1Vert">
      <w:tblPr/>
      <w:tcPr>
        <w:shd w:val="clear" w:color="auto" w:fill="41FF94" w:themeFill="accent1" w:themeFillTint="7F"/>
      </w:tcPr>
    </w:tblStylePr>
    <w:tblStylePr w:type="band1Horz">
      <w:tblPr/>
      <w:tcPr>
        <w:tcBorders>
          <w:insideH w:val="single" w:sz="6" w:space="0" w:color="008139" w:themeColor="accent1"/>
          <w:insideV w:val="single" w:sz="6" w:space="0" w:color="008139" w:themeColor="accent1"/>
        </w:tcBorders>
        <w:shd w:val="clear" w:color="auto" w:fill="41FF9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C3903" w:themeColor="accent2"/>
        <w:left w:val="single" w:sz="8" w:space="0" w:color="DC3903" w:themeColor="accent2"/>
        <w:bottom w:val="single" w:sz="8" w:space="0" w:color="DC3903" w:themeColor="accent2"/>
        <w:right w:val="single" w:sz="8" w:space="0" w:color="DC3903" w:themeColor="accent2"/>
        <w:insideH w:val="single" w:sz="8" w:space="0" w:color="DC3903" w:themeColor="accent2"/>
        <w:insideV w:val="single" w:sz="8" w:space="0" w:color="DC3903" w:themeColor="accent2"/>
      </w:tblBorders>
    </w:tblPr>
    <w:tcPr>
      <w:shd w:val="clear" w:color="auto" w:fill="FEC9B8" w:themeFill="accent2" w:themeFillTint="3F"/>
    </w:tcPr>
    <w:tblStylePr w:type="firstRow">
      <w:rPr>
        <w:b/>
        <w:bCs/>
        <w:color w:val="000000" w:themeColor="text1"/>
      </w:rPr>
      <w:tblPr/>
      <w:tcPr>
        <w:shd w:val="clear" w:color="auto" w:fill="FEE9E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3C6" w:themeFill="accent2" w:themeFillTint="33"/>
      </w:tcPr>
    </w:tblStylePr>
    <w:tblStylePr w:type="band1Vert">
      <w:tblPr/>
      <w:tcPr>
        <w:shd w:val="clear" w:color="auto" w:fill="FD9471" w:themeFill="accent2" w:themeFillTint="7F"/>
      </w:tcPr>
    </w:tblStylePr>
    <w:tblStylePr w:type="band1Horz">
      <w:tblPr/>
      <w:tcPr>
        <w:tcBorders>
          <w:insideH w:val="single" w:sz="6" w:space="0" w:color="DC3903" w:themeColor="accent2"/>
          <w:insideV w:val="single" w:sz="6" w:space="0" w:color="DC3903" w:themeColor="accent2"/>
        </w:tcBorders>
        <w:shd w:val="clear" w:color="auto" w:fill="FD9471"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insideH w:val="single" w:sz="8" w:space="0" w:color="2688FE" w:themeColor="accent3"/>
        <w:insideV w:val="single" w:sz="8" w:space="0" w:color="2688FE" w:themeColor="accent3"/>
      </w:tblBorders>
    </w:tblPr>
    <w:tcPr>
      <w:shd w:val="clear" w:color="auto" w:fill="C9E1FE" w:themeFill="accent3" w:themeFillTint="3F"/>
    </w:tcPr>
    <w:tblStylePr w:type="firstRow">
      <w:rPr>
        <w:b/>
        <w:bCs/>
        <w:color w:val="000000" w:themeColor="text1"/>
      </w:rPr>
      <w:tblPr/>
      <w:tcPr>
        <w:shd w:val="clear" w:color="auto" w:fill="E9F3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7FE" w:themeFill="accent3" w:themeFillTint="33"/>
      </w:tcPr>
    </w:tblStylePr>
    <w:tblStylePr w:type="band1Vert">
      <w:tblPr/>
      <w:tcPr>
        <w:shd w:val="clear" w:color="auto" w:fill="92C3FE" w:themeFill="accent3" w:themeFillTint="7F"/>
      </w:tcPr>
    </w:tblStylePr>
    <w:tblStylePr w:type="band1Horz">
      <w:tblPr/>
      <w:tcPr>
        <w:tcBorders>
          <w:insideH w:val="single" w:sz="6" w:space="0" w:color="2688FE" w:themeColor="accent3"/>
          <w:insideV w:val="single" w:sz="6" w:space="0" w:color="2688FE" w:themeColor="accent3"/>
        </w:tcBorders>
        <w:shd w:val="clear" w:color="auto" w:fill="92C3F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insideH w:val="single" w:sz="8" w:space="0" w:color="FDAB07" w:themeColor="accent4"/>
        <w:insideV w:val="single" w:sz="8" w:space="0" w:color="FDAB07" w:themeColor="accent4"/>
      </w:tblBorders>
    </w:tblPr>
    <w:tcPr>
      <w:shd w:val="clear" w:color="auto" w:fill="FEEAC1" w:themeFill="accent4" w:themeFillTint="3F"/>
    </w:tcPr>
    <w:tblStylePr w:type="firstRow">
      <w:rPr>
        <w:b/>
        <w:bCs/>
        <w:color w:val="000000" w:themeColor="text1"/>
      </w:rPr>
      <w:tblPr/>
      <w:tcPr>
        <w:shd w:val="clear" w:color="auto" w:fill="FEF6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ECD" w:themeFill="accent4" w:themeFillTint="33"/>
      </w:tcPr>
    </w:tblStylePr>
    <w:tblStylePr w:type="band1Vert">
      <w:tblPr/>
      <w:tcPr>
        <w:shd w:val="clear" w:color="auto" w:fill="FED583" w:themeFill="accent4" w:themeFillTint="7F"/>
      </w:tcPr>
    </w:tblStylePr>
    <w:tblStylePr w:type="band1Horz">
      <w:tblPr/>
      <w:tcPr>
        <w:tcBorders>
          <w:insideH w:val="single" w:sz="6" w:space="0" w:color="FDAB07" w:themeColor="accent4"/>
          <w:insideV w:val="single" w:sz="6" w:space="0" w:color="FDAB07" w:themeColor="accent4"/>
        </w:tcBorders>
        <w:shd w:val="clear" w:color="auto" w:fill="FED583"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insideH w:val="single" w:sz="8" w:space="0" w:color="DC165D" w:themeColor="accent5"/>
        <w:insideV w:val="single" w:sz="8" w:space="0" w:color="DC165D" w:themeColor="accent5"/>
      </w:tblBorders>
    </w:tblPr>
    <w:tcPr>
      <w:shd w:val="clear" w:color="auto" w:fill="F9C2D6" w:themeFill="accent5" w:themeFillTint="3F"/>
    </w:tcPr>
    <w:tblStylePr w:type="firstRow">
      <w:rPr>
        <w:b/>
        <w:bCs/>
        <w:color w:val="000000" w:themeColor="text1"/>
      </w:rPr>
      <w:tblPr/>
      <w:tcPr>
        <w:shd w:val="clear" w:color="auto" w:fill="FCE7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CEDD" w:themeFill="accent5" w:themeFillTint="33"/>
      </w:tcPr>
    </w:tblStylePr>
    <w:tblStylePr w:type="band1Vert">
      <w:tblPr/>
      <w:tcPr>
        <w:shd w:val="clear" w:color="auto" w:fill="F285AC" w:themeFill="accent5" w:themeFillTint="7F"/>
      </w:tcPr>
    </w:tblStylePr>
    <w:tblStylePr w:type="band1Horz">
      <w:tblPr/>
      <w:tcPr>
        <w:tcBorders>
          <w:insideH w:val="single" w:sz="6" w:space="0" w:color="DC165D" w:themeColor="accent5"/>
          <w:insideV w:val="single" w:sz="6" w:space="0" w:color="DC165D" w:themeColor="accent5"/>
        </w:tcBorders>
        <w:shd w:val="clear" w:color="auto" w:fill="F285A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insideH w:val="single" w:sz="8" w:space="0" w:color="7030A0" w:themeColor="accent6"/>
        <w:insideV w:val="single" w:sz="8" w:space="0" w:color="7030A0" w:themeColor="accent6"/>
      </w:tblBorders>
    </w:tblPr>
    <w:tcPr>
      <w:shd w:val="clear" w:color="auto" w:fill="DCC5ED" w:themeFill="accent6" w:themeFillTint="3F"/>
    </w:tcPr>
    <w:tblStylePr w:type="firstRow">
      <w:rPr>
        <w:b/>
        <w:bCs/>
        <w:color w:val="000000" w:themeColor="text1"/>
      </w:rPr>
      <w:tblPr/>
      <w:tcPr>
        <w:shd w:val="clear" w:color="auto" w:fill="F1E8F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D0F1" w:themeFill="accent6" w:themeFillTint="33"/>
      </w:tcPr>
    </w:tblStylePr>
    <w:tblStylePr w:type="band1Vert">
      <w:tblPr/>
      <w:tcPr>
        <w:shd w:val="clear" w:color="auto" w:fill="B98BDC" w:themeFill="accent6" w:themeFillTint="7F"/>
      </w:tcPr>
    </w:tblStylePr>
    <w:tblStylePr w:type="band1Horz">
      <w:tblPr/>
      <w:tcPr>
        <w:tcBorders>
          <w:insideH w:val="single" w:sz="6" w:space="0" w:color="7030A0" w:themeColor="accent6"/>
          <w:insideV w:val="single" w:sz="6" w:space="0" w:color="7030A0" w:themeColor="accent6"/>
        </w:tcBorders>
        <w:shd w:val="clear" w:color="auto" w:fill="B98BD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062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062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FC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13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13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13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1FF9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1FF94" w:themeFill="accent1" w:themeFillTint="7F"/>
      </w:tcPr>
    </w:tblStylePr>
  </w:style>
  <w:style w:type="table" w:styleId="MediumGrid3-Accent2">
    <w:name w:val="Medium Grid 3 Accent 2"/>
    <w:basedOn w:val="TableNormal"/>
    <w:uiPriority w:val="69"/>
    <w:semiHidden/>
    <w:unhideWhenUsed/>
    <w:rsid w:val="0057062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C9B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390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390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390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390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947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9471" w:themeFill="accent2" w:themeFillTint="7F"/>
      </w:tcPr>
    </w:tblStylePr>
  </w:style>
  <w:style w:type="table" w:styleId="MediumGrid3-Accent3">
    <w:name w:val="Medium Grid 3 Accent 3"/>
    <w:basedOn w:val="TableNormal"/>
    <w:uiPriority w:val="69"/>
    <w:semiHidden/>
    <w:unhideWhenUsed/>
    <w:rsid w:val="0057062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E1FE"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88F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88F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88F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C3F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C3FE" w:themeFill="accent3" w:themeFillTint="7F"/>
      </w:tcPr>
    </w:tblStylePr>
  </w:style>
  <w:style w:type="table" w:styleId="MediumGrid3-Accent4">
    <w:name w:val="Medium Grid 3 Accent 4"/>
    <w:basedOn w:val="TableNormal"/>
    <w:uiPriority w:val="69"/>
    <w:semiHidden/>
    <w:unhideWhenUsed/>
    <w:rsid w:val="0057062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A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AB0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AB0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AB0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D5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D583" w:themeFill="accent4" w:themeFillTint="7F"/>
      </w:tcPr>
    </w:tblStylePr>
  </w:style>
  <w:style w:type="table" w:styleId="MediumGrid3-Accent5">
    <w:name w:val="Medium Grid 3 Accent 5"/>
    <w:basedOn w:val="TableNormal"/>
    <w:uiPriority w:val="69"/>
    <w:semiHidden/>
    <w:unhideWhenUsed/>
    <w:rsid w:val="0057062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2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165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165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165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5A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5AC" w:themeFill="accent5" w:themeFillTint="7F"/>
      </w:tcPr>
    </w:tblStylePr>
  </w:style>
  <w:style w:type="table" w:styleId="MediumGrid3-Accent6">
    <w:name w:val="Medium Grid 3 Accent 6"/>
    <w:basedOn w:val="TableNormal"/>
    <w:uiPriority w:val="69"/>
    <w:semiHidden/>
    <w:unhideWhenUsed/>
    <w:rsid w:val="0057062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C5E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30A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30A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30A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8BD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8BDC" w:themeFill="accent6" w:themeFillTint="7F"/>
      </w:tcPr>
    </w:tblStylePr>
  </w:style>
  <w:style w:type="table" w:styleId="MediumList1">
    <w:name w:val="Medium List 1"/>
    <w:basedOn w:val="TableNormal"/>
    <w:uiPriority w:val="65"/>
    <w:semiHidden/>
    <w:unhideWhenUsed/>
    <w:rsid w:val="0057062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39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062A"/>
    <w:pPr>
      <w:spacing w:after="0" w:line="240" w:lineRule="auto"/>
    </w:pPr>
    <w:rPr>
      <w:color w:val="000000" w:themeColor="text1"/>
    </w:rPr>
    <w:tblPr>
      <w:tblStyleRowBandSize w:val="1"/>
      <w:tblStyleColBandSize w:val="1"/>
      <w:tblBorders>
        <w:top w:val="single" w:sz="8" w:space="0" w:color="008139" w:themeColor="accent1"/>
        <w:bottom w:val="single" w:sz="8" w:space="0" w:color="008139" w:themeColor="accent1"/>
      </w:tblBorders>
    </w:tblPr>
    <w:tblStylePr w:type="firstRow">
      <w:rPr>
        <w:rFonts w:asciiTheme="majorHAnsi" w:eastAsiaTheme="majorEastAsia" w:hAnsiTheme="majorHAnsi" w:cstheme="majorBidi"/>
      </w:rPr>
      <w:tblPr/>
      <w:tcPr>
        <w:tcBorders>
          <w:top w:val="nil"/>
          <w:bottom w:val="single" w:sz="8" w:space="0" w:color="008139" w:themeColor="accent1"/>
        </w:tcBorders>
      </w:tcPr>
    </w:tblStylePr>
    <w:tblStylePr w:type="lastRow">
      <w:rPr>
        <w:b/>
        <w:bCs/>
        <w:color w:val="003399" w:themeColor="text2"/>
      </w:rPr>
      <w:tblPr/>
      <w:tcPr>
        <w:tcBorders>
          <w:top w:val="single" w:sz="8" w:space="0" w:color="008139" w:themeColor="accent1"/>
          <w:bottom w:val="single" w:sz="8" w:space="0" w:color="008139" w:themeColor="accent1"/>
        </w:tcBorders>
      </w:tcPr>
    </w:tblStylePr>
    <w:tblStylePr w:type="firstCol">
      <w:rPr>
        <w:b/>
        <w:bCs/>
      </w:rPr>
    </w:tblStylePr>
    <w:tblStylePr w:type="lastCol">
      <w:rPr>
        <w:b/>
        <w:bCs/>
      </w:rPr>
      <w:tblPr/>
      <w:tcPr>
        <w:tcBorders>
          <w:top w:val="single" w:sz="8" w:space="0" w:color="008139" w:themeColor="accent1"/>
          <w:bottom w:val="single" w:sz="8" w:space="0" w:color="008139" w:themeColor="accent1"/>
        </w:tcBorders>
      </w:tcPr>
    </w:tblStylePr>
    <w:tblStylePr w:type="band1Vert">
      <w:tblPr/>
      <w:tcPr>
        <w:shd w:val="clear" w:color="auto" w:fill="A0FFCA" w:themeFill="accent1" w:themeFillTint="3F"/>
      </w:tcPr>
    </w:tblStylePr>
    <w:tblStylePr w:type="band1Horz">
      <w:tblPr/>
      <w:tcPr>
        <w:shd w:val="clear" w:color="auto" w:fill="A0FFCA" w:themeFill="accent1" w:themeFillTint="3F"/>
      </w:tcPr>
    </w:tblStylePr>
  </w:style>
  <w:style w:type="table" w:styleId="MediumList1-Accent2">
    <w:name w:val="Medium List 1 Accent 2"/>
    <w:basedOn w:val="TableNormal"/>
    <w:uiPriority w:val="65"/>
    <w:semiHidden/>
    <w:unhideWhenUsed/>
    <w:rsid w:val="0057062A"/>
    <w:pPr>
      <w:spacing w:after="0" w:line="240" w:lineRule="auto"/>
    </w:pPr>
    <w:rPr>
      <w:color w:val="000000" w:themeColor="text1"/>
    </w:rPr>
    <w:tblPr>
      <w:tblStyleRowBandSize w:val="1"/>
      <w:tblStyleColBandSize w:val="1"/>
      <w:tblBorders>
        <w:top w:val="single" w:sz="8" w:space="0" w:color="DC3903" w:themeColor="accent2"/>
        <w:bottom w:val="single" w:sz="8" w:space="0" w:color="DC3903" w:themeColor="accent2"/>
      </w:tblBorders>
    </w:tblPr>
    <w:tblStylePr w:type="firstRow">
      <w:rPr>
        <w:rFonts w:asciiTheme="majorHAnsi" w:eastAsiaTheme="majorEastAsia" w:hAnsiTheme="majorHAnsi" w:cstheme="majorBidi"/>
      </w:rPr>
      <w:tblPr/>
      <w:tcPr>
        <w:tcBorders>
          <w:top w:val="nil"/>
          <w:bottom w:val="single" w:sz="8" w:space="0" w:color="DC3903" w:themeColor="accent2"/>
        </w:tcBorders>
      </w:tcPr>
    </w:tblStylePr>
    <w:tblStylePr w:type="lastRow">
      <w:rPr>
        <w:b/>
        <w:bCs/>
        <w:color w:val="003399" w:themeColor="text2"/>
      </w:rPr>
      <w:tblPr/>
      <w:tcPr>
        <w:tcBorders>
          <w:top w:val="single" w:sz="8" w:space="0" w:color="DC3903" w:themeColor="accent2"/>
          <w:bottom w:val="single" w:sz="8" w:space="0" w:color="DC3903" w:themeColor="accent2"/>
        </w:tcBorders>
      </w:tcPr>
    </w:tblStylePr>
    <w:tblStylePr w:type="firstCol">
      <w:rPr>
        <w:b/>
        <w:bCs/>
      </w:rPr>
    </w:tblStylePr>
    <w:tblStylePr w:type="lastCol">
      <w:rPr>
        <w:b/>
        <w:bCs/>
      </w:rPr>
      <w:tblPr/>
      <w:tcPr>
        <w:tcBorders>
          <w:top w:val="single" w:sz="8" w:space="0" w:color="DC3903" w:themeColor="accent2"/>
          <w:bottom w:val="single" w:sz="8" w:space="0" w:color="DC3903" w:themeColor="accent2"/>
        </w:tcBorders>
      </w:tcPr>
    </w:tblStylePr>
    <w:tblStylePr w:type="band1Vert">
      <w:tblPr/>
      <w:tcPr>
        <w:shd w:val="clear" w:color="auto" w:fill="FEC9B8" w:themeFill="accent2" w:themeFillTint="3F"/>
      </w:tcPr>
    </w:tblStylePr>
    <w:tblStylePr w:type="band1Horz">
      <w:tblPr/>
      <w:tcPr>
        <w:shd w:val="clear" w:color="auto" w:fill="FEC9B8" w:themeFill="accent2" w:themeFillTint="3F"/>
      </w:tcPr>
    </w:tblStylePr>
  </w:style>
  <w:style w:type="table" w:styleId="MediumList1-Accent3">
    <w:name w:val="Medium List 1 Accent 3"/>
    <w:basedOn w:val="TableNormal"/>
    <w:uiPriority w:val="65"/>
    <w:semiHidden/>
    <w:unhideWhenUsed/>
    <w:rsid w:val="0057062A"/>
    <w:pPr>
      <w:spacing w:after="0" w:line="240" w:lineRule="auto"/>
    </w:pPr>
    <w:rPr>
      <w:color w:val="000000" w:themeColor="text1"/>
    </w:rPr>
    <w:tblPr>
      <w:tblStyleRowBandSize w:val="1"/>
      <w:tblStyleColBandSize w:val="1"/>
      <w:tblBorders>
        <w:top w:val="single" w:sz="8" w:space="0" w:color="2688FE" w:themeColor="accent3"/>
        <w:bottom w:val="single" w:sz="8" w:space="0" w:color="2688FE" w:themeColor="accent3"/>
      </w:tblBorders>
    </w:tblPr>
    <w:tblStylePr w:type="firstRow">
      <w:rPr>
        <w:rFonts w:asciiTheme="majorHAnsi" w:eastAsiaTheme="majorEastAsia" w:hAnsiTheme="majorHAnsi" w:cstheme="majorBidi"/>
      </w:rPr>
      <w:tblPr/>
      <w:tcPr>
        <w:tcBorders>
          <w:top w:val="nil"/>
          <w:bottom w:val="single" w:sz="8" w:space="0" w:color="2688FE" w:themeColor="accent3"/>
        </w:tcBorders>
      </w:tcPr>
    </w:tblStylePr>
    <w:tblStylePr w:type="lastRow">
      <w:rPr>
        <w:b/>
        <w:bCs/>
        <w:color w:val="003399" w:themeColor="text2"/>
      </w:rPr>
      <w:tblPr/>
      <w:tcPr>
        <w:tcBorders>
          <w:top w:val="single" w:sz="8" w:space="0" w:color="2688FE" w:themeColor="accent3"/>
          <w:bottom w:val="single" w:sz="8" w:space="0" w:color="2688FE" w:themeColor="accent3"/>
        </w:tcBorders>
      </w:tcPr>
    </w:tblStylePr>
    <w:tblStylePr w:type="firstCol">
      <w:rPr>
        <w:b/>
        <w:bCs/>
      </w:rPr>
    </w:tblStylePr>
    <w:tblStylePr w:type="lastCol">
      <w:rPr>
        <w:b/>
        <w:bCs/>
      </w:rPr>
      <w:tblPr/>
      <w:tcPr>
        <w:tcBorders>
          <w:top w:val="single" w:sz="8" w:space="0" w:color="2688FE" w:themeColor="accent3"/>
          <w:bottom w:val="single" w:sz="8" w:space="0" w:color="2688FE" w:themeColor="accent3"/>
        </w:tcBorders>
      </w:tcPr>
    </w:tblStylePr>
    <w:tblStylePr w:type="band1Vert">
      <w:tblPr/>
      <w:tcPr>
        <w:shd w:val="clear" w:color="auto" w:fill="C9E1FE" w:themeFill="accent3" w:themeFillTint="3F"/>
      </w:tcPr>
    </w:tblStylePr>
    <w:tblStylePr w:type="band1Horz">
      <w:tblPr/>
      <w:tcPr>
        <w:shd w:val="clear" w:color="auto" w:fill="C9E1FE" w:themeFill="accent3" w:themeFillTint="3F"/>
      </w:tcPr>
    </w:tblStylePr>
  </w:style>
  <w:style w:type="table" w:styleId="MediumList1-Accent4">
    <w:name w:val="Medium List 1 Accent 4"/>
    <w:basedOn w:val="TableNormal"/>
    <w:uiPriority w:val="65"/>
    <w:semiHidden/>
    <w:unhideWhenUsed/>
    <w:rsid w:val="0057062A"/>
    <w:pPr>
      <w:spacing w:after="0" w:line="240" w:lineRule="auto"/>
    </w:pPr>
    <w:rPr>
      <w:color w:val="000000" w:themeColor="text1"/>
    </w:rPr>
    <w:tblPr>
      <w:tblStyleRowBandSize w:val="1"/>
      <w:tblStyleColBandSize w:val="1"/>
      <w:tblBorders>
        <w:top w:val="single" w:sz="8" w:space="0" w:color="FDAB07" w:themeColor="accent4"/>
        <w:bottom w:val="single" w:sz="8" w:space="0" w:color="FDAB07" w:themeColor="accent4"/>
      </w:tblBorders>
    </w:tblPr>
    <w:tblStylePr w:type="firstRow">
      <w:rPr>
        <w:rFonts w:asciiTheme="majorHAnsi" w:eastAsiaTheme="majorEastAsia" w:hAnsiTheme="majorHAnsi" w:cstheme="majorBidi"/>
      </w:rPr>
      <w:tblPr/>
      <w:tcPr>
        <w:tcBorders>
          <w:top w:val="nil"/>
          <w:bottom w:val="single" w:sz="8" w:space="0" w:color="FDAB07" w:themeColor="accent4"/>
        </w:tcBorders>
      </w:tcPr>
    </w:tblStylePr>
    <w:tblStylePr w:type="lastRow">
      <w:rPr>
        <w:b/>
        <w:bCs/>
        <w:color w:val="003399" w:themeColor="text2"/>
      </w:rPr>
      <w:tblPr/>
      <w:tcPr>
        <w:tcBorders>
          <w:top w:val="single" w:sz="8" w:space="0" w:color="FDAB07" w:themeColor="accent4"/>
          <w:bottom w:val="single" w:sz="8" w:space="0" w:color="FDAB07" w:themeColor="accent4"/>
        </w:tcBorders>
      </w:tcPr>
    </w:tblStylePr>
    <w:tblStylePr w:type="firstCol">
      <w:rPr>
        <w:b/>
        <w:bCs/>
      </w:rPr>
    </w:tblStylePr>
    <w:tblStylePr w:type="lastCol">
      <w:rPr>
        <w:b/>
        <w:bCs/>
      </w:rPr>
      <w:tblPr/>
      <w:tcPr>
        <w:tcBorders>
          <w:top w:val="single" w:sz="8" w:space="0" w:color="FDAB07" w:themeColor="accent4"/>
          <w:bottom w:val="single" w:sz="8" w:space="0" w:color="FDAB07" w:themeColor="accent4"/>
        </w:tcBorders>
      </w:tcPr>
    </w:tblStylePr>
    <w:tblStylePr w:type="band1Vert">
      <w:tblPr/>
      <w:tcPr>
        <w:shd w:val="clear" w:color="auto" w:fill="FEEAC1" w:themeFill="accent4" w:themeFillTint="3F"/>
      </w:tcPr>
    </w:tblStylePr>
    <w:tblStylePr w:type="band1Horz">
      <w:tblPr/>
      <w:tcPr>
        <w:shd w:val="clear" w:color="auto" w:fill="FEEAC1" w:themeFill="accent4" w:themeFillTint="3F"/>
      </w:tcPr>
    </w:tblStylePr>
  </w:style>
  <w:style w:type="table" w:styleId="MediumList1-Accent5">
    <w:name w:val="Medium List 1 Accent 5"/>
    <w:basedOn w:val="TableNormal"/>
    <w:uiPriority w:val="65"/>
    <w:semiHidden/>
    <w:unhideWhenUsed/>
    <w:rsid w:val="0057062A"/>
    <w:pPr>
      <w:spacing w:after="0" w:line="240" w:lineRule="auto"/>
    </w:pPr>
    <w:rPr>
      <w:color w:val="000000" w:themeColor="text1"/>
    </w:rPr>
    <w:tblPr>
      <w:tblStyleRowBandSize w:val="1"/>
      <w:tblStyleColBandSize w:val="1"/>
      <w:tblBorders>
        <w:top w:val="single" w:sz="8" w:space="0" w:color="DC165D" w:themeColor="accent5"/>
        <w:bottom w:val="single" w:sz="8" w:space="0" w:color="DC165D" w:themeColor="accent5"/>
      </w:tblBorders>
    </w:tblPr>
    <w:tblStylePr w:type="firstRow">
      <w:rPr>
        <w:rFonts w:asciiTheme="majorHAnsi" w:eastAsiaTheme="majorEastAsia" w:hAnsiTheme="majorHAnsi" w:cstheme="majorBidi"/>
      </w:rPr>
      <w:tblPr/>
      <w:tcPr>
        <w:tcBorders>
          <w:top w:val="nil"/>
          <w:bottom w:val="single" w:sz="8" w:space="0" w:color="DC165D" w:themeColor="accent5"/>
        </w:tcBorders>
      </w:tcPr>
    </w:tblStylePr>
    <w:tblStylePr w:type="lastRow">
      <w:rPr>
        <w:b/>
        <w:bCs/>
        <w:color w:val="003399" w:themeColor="text2"/>
      </w:rPr>
      <w:tblPr/>
      <w:tcPr>
        <w:tcBorders>
          <w:top w:val="single" w:sz="8" w:space="0" w:color="DC165D" w:themeColor="accent5"/>
          <w:bottom w:val="single" w:sz="8" w:space="0" w:color="DC165D" w:themeColor="accent5"/>
        </w:tcBorders>
      </w:tcPr>
    </w:tblStylePr>
    <w:tblStylePr w:type="firstCol">
      <w:rPr>
        <w:b/>
        <w:bCs/>
      </w:rPr>
    </w:tblStylePr>
    <w:tblStylePr w:type="lastCol">
      <w:rPr>
        <w:b/>
        <w:bCs/>
      </w:rPr>
      <w:tblPr/>
      <w:tcPr>
        <w:tcBorders>
          <w:top w:val="single" w:sz="8" w:space="0" w:color="DC165D" w:themeColor="accent5"/>
          <w:bottom w:val="single" w:sz="8" w:space="0" w:color="DC165D" w:themeColor="accent5"/>
        </w:tcBorders>
      </w:tcPr>
    </w:tblStylePr>
    <w:tblStylePr w:type="band1Vert">
      <w:tblPr/>
      <w:tcPr>
        <w:shd w:val="clear" w:color="auto" w:fill="F9C2D6" w:themeFill="accent5" w:themeFillTint="3F"/>
      </w:tcPr>
    </w:tblStylePr>
    <w:tblStylePr w:type="band1Horz">
      <w:tblPr/>
      <w:tcPr>
        <w:shd w:val="clear" w:color="auto" w:fill="F9C2D6" w:themeFill="accent5" w:themeFillTint="3F"/>
      </w:tcPr>
    </w:tblStylePr>
  </w:style>
  <w:style w:type="table" w:styleId="MediumList1-Accent6">
    <w:name w:val="Medium List 1 Accent 6"/>
    <w:basedOn w:val="TableNormal"/>
    <w:uiPriority w:val="65"/>
    <w:semiHidden/>
    <w:unhideWhenUsed/>
    <w:rsid w:val="0057062A"/>
    <w:pPr>
      <w:spacing w:after="0" w:line="240" w:lineRule="auto"/>
    </w:pPr>
    <w:rPr>
      <w:color w:val="000000" w:themeColor="text1"/>
    </w:rPr>
    <w:tblPr>
      <w:tblStyleRowBandSize w:val="1"/>
      <w:tblStyleColBandSize w:val="1"/>
      <w:tblBorders>
        <w:top w:val="single" w:sz="8" w:space="0" w:color="7030A0" w:themeColor="accent6"/>
        <w:bottom w:val="single" w:sz="8" w:space="0" w:color="7030A0" w:themeColor="accent6"/>
      </w:tblBorders>
    </w:tblPr>
    <w:tblStylePr w:type="firstRow">
      <w:rPr>
        <w:rFonts w:asciiTheme="majorHAnsi" w:eastAsiaTheme="majorEastAsia" w:hAnsiTheme="majorHAnsi" w:cstheme="majorBidi"/>
      </w:rPr>
      <w:tblPr/>
      <w:tcPr>
        <w:tcBorders>
          <w:top w:val="nil"/>
          <w:bottom w:val="single" w:sz="8" w:space="0" w:color="7030A0" w:themeColor="accent6"/>
        </w:tcBorders>
      </w:tcPr>
    </w:tblStylePr>
    <w:tblStylePr w:type="lastRow">
      <w:rPr>
        <w:b/>
        <w:bCs/>
        <w:color w:val="003399" w:themeColor="text2"/>
      </w:rPr>
      <w:tblPr/>
      <w:tcPr>
        <w:tcBorders>
          <w:top w:val="single" w:sz="8" w:space="0" w:color="7030A0" w:themeColor="accent6"/>
          <w:bottom w:val="single" w:sz="8" w:space="0" w:color="7030A0" w:themeColor="accent6"/>
        </w:tcBorders>
      </w:tcPr>
    </w:tblStylePr>
    <w:tblStylePr w:type="firstCol">
      <w:rPr>
        <w:b/>
        <w:bCs/>
      </w:rPr>
    </w:tblStylePr>
    <w:tblStylePr w:type="lastCol">
      <w:rPr>
        <w:b/>
        <w:bCs/>
      </w:rPr>
      <w:tblPr/>
      <w:tcPr>
        <w:tcBorders>
          <w:top w:val="single" w:sz="8" w:space="0" w:color="7030A0" w:themeColor="accent6"/>
          <w:bottom w:val="single" w:sz="8" w:space="0" w:color="7030A0" w:themeColor="accent6"/>
        </w:tcBorders>
      </w:tcPr>
    </w:tblStylePr>
    <w:tblStylePr w:type="band1Vert">
      <w:tblPr/>
      <w:tcPr>
        <w:shd w:val="clear" w:color="auto" w:fill="DCC5ED" w:themeFill="accent6" w:themeFillTint="3F"/>
      </w:tcPr>
    </w:tblStylePr>
    <w:tblStylePr w:type="band1Horz">
      <w:tblPr/>
      <w:tcPr>
        <w:shd w:val="clear" w:color="auto" w:fill="DCC5ED" w:themeFill="accent6" w:themeFillTint="3F"/>
      </w:tcPr>
    </w:tblStylePr>
  </w:style>
  <w:style w:type="table" w:styleId="MediumList2">
    <w:name w:val="Medium List 2"/>
    <w:basedOn w:val="TableNormal"/>
    <w:uiPriority w:val="66"/>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139" w:themeColor="accent1"/>
        <w:left w:val="single" w:sz="8" w:space="0" w:color="008139" w:themeColor="accent1"/>
        <w:bottom w:val="single" w:sz="8" w:space="0" w:color="008139" w:themeColor="accent1"/>
        <w:right w:val="single" w:sz="8" w:space="0" w:color="008139" w:themeColor="accent1"/>
      </w:tblBorders>
    </w:tblPr>
    <w:tblStylePr w:type="firstRow">
      <w:rPr>
        <w:sz w:val="24"/>
        <w:szCs w:val="24"/>
      </w:rPr>
      <w:tblPr/>
      <w:tcPr>
        <w:tcBorders>
          <w:top w:val="nil"/>
          <w:left w:val="nil"/>
          <w:bottom w:val="single" w:sz="24" w:space="0" w:color="008139" w:themeColor="accent1"/>
          <w:right w:val="nil"/>
          <w:insideH w:val="nil"/>
          <w:insideV w:val="nil"/>
        </w:tcBorders>
        <w:shd w:val="clear" w:color="auto" w:fill="FFFFFF" w:themeFill="background1"/>
      </w:tcPr>
    </w:tblStylePr>
    <w:tblStylePr w:type="lastRow">
      <w:tblPr/>
      <w:tcPr>
        <w:tcBorders>
          <w:top w:val="single" w:sz="8" w:space="0" w:color="00813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139" w:themeColor="accent1"/>
          <w:insideH w:val="nil"/>
          <w:insideV w:val="nil"/>
        </w:tcBorders>
        <w:shd w:val="clear" w:color="auto" w:fill="FFFFFF" w:themeFill="background1"/>
      </w:tcPr>
    </w:tblStylePr>
    <w:tblStylePr w:type="lastCol">
      <w:tblPr/>
      <w:tcPr>
        <w:tcBorders>
          <w:top w:val="nil"/>
          <w:left w:val="single" w:sz="8" w:space="0" w:color="00813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FCA" w:themeFill="accent1" w:themeFillTint="3F"/>
      </w:tcPr>
    </w:tblStylePr>
    <w:tblStylePr w:type="band1Horz">
      <w:tblPr/>
      <w:tcPr>
        <w:tcBorders>
          <w:top w:val="nil"/>
          <w:bottom w:val="nil"/>
          <w:insideH w:val="nil"/>
          <w:insideV w:val="nil"/>
        </w:tcBorders>
        <w:shd w:val="clear" w:color="auto" w:fill="A0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C3903" w:themeColor="accent2"/>
        <w:left w:val="single" w:sz="8" w:space="0" w:color="DC3903" w:themeColor="accent2"/>
        <w:bottom w:val="single" w:sz="8" w:space="0" w:color="DC3903" w:themeColor="accent2"/>
        <w:right w:val="single" w:sz="8" w:space="0" w:color="DC3903" w:themeColor="accent2"/>
      </w:tblBorders>
    </w:tblPr>
    <w:tblStylePr w:type="firstRow">
      <w:rPr>
        <w:sz w:val="24"/>
        <w:szCs w:val="24"/>
      </w:rPr>
      <w:tblPr/>
      <w:tcPr>
        <w:tcBorders>
          <w:top w:val="nil"/>
          <w:left w:val="nil"/>
          <w:bottom w:val="single" w:sz="24" w:space="0" w:color="DC3903" w:themeColor="accent2"/>
          <w:right w:val="nil"/>
          <w:insideH w:val="nil"/>
          <w:insideV w:val="nil"/>
        </w:tcBorders>
        <w:shd w:val="clear" w:color="auto" w:fill="FFFFFF" w:themeFill="background1"/>
      </w:tcPr>
    </w:tblStylePr>
    <w:tblStylePr w:type="lastRow">
      <w:tblPr/>
      <w:tcPr>
        <w:tcBorders>
          <w:top w:val="single" w:sz="8" w:space="0" w:color="DC3903"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DC3903" w:themeColor="accent2"/>
          <w:insideH w:val="nil"/>
          <w:insideV w:val="nil"/>
        </w:tcBorders>
        <w:shd w:val="clear" w:color="auto" w:fill="FFFFFF" w:themeFill="background1"/>
      </w:tcPr>
    </w:tblStylePr>
    <w:tblStylePr w:type="lastCol">
      <w:tblPr/>
      <w:tcPr>
        <w:tcBorders>
          <w:top w:val="nil"/>
          <w:left w:val="single" w:sz="8" w:space="0" w:color="DC390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C9B8" w:themeFill="accent2" w:themeFillTint="3F"/>
      </w:tcPr>
    </w:tblStylePr>
    <w:tblStylePr w:type="band1Horz">
      <w:tblPr/>
      <w:tcPr>
        <w:tcBorders>
          <w:top w:val="nil"/>
          <w:bottom w:val="nil"/>
          <w:insideH w:val="nil"/>
          <w:insideV w:val="nil"/>
        </w:tcBorders>
        <w:shd w:val="clear" w:color="auto" w:fill="FEC9B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688FE" w:themeColor="accent3"/>
        <w:left w:val="single" w:sz="8" w:space="0" w:color="2688FE" w:themeColor="accent3"/>
        <w:bottom w:val="single" w:sz="8" w:space="0" w:color="2688FE" w:themeColor="accent3"/>
        <w:right w:val="single" w:sz="8" w:space="0" w:color="2688FE" w:themeColor="accent3"/>
      </w:tblBorders>
    </w:tblPr>
    <w:tblStylePr w:type="firstRow">
      <w:rPr>
        <w:sz w:val="24"/>
        <w:szCs w:val="24"/>
      </w:rPr>
      <w:tblPr/>
      <w:tcPr>
        <w:tcBorders>
          <w:top w:val="nil"/>
          <w:left w:val="nil"/>
          <w:bottom w:val="single" w:sz="24" w:space="0" w:color="2688FE" w:themeColor="accent3"/>
          <w:right w:val="nil"/>
          <w:insideH w:val="nil"/>
          <w:insideV w:val="nil"/>
        </w:tcBorders>
        <w:shd w:val="clear" w:color="auto" w:fill="FFFFFF" w:themeFill="background1"/>
      </w:tcPr>
    </w:tblStylePr>
    <w:tblStylePr w:type="lastRow">
      <w:tblPr/>
      <w:tcPr>
        <w:tcBorders>
          <w:top w:val="single" w:sz="8" w:space="0" w:color="2688F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88FE" w:themeColor="accent3"/>
          <w:insideH w:val="nil"/>
          <w:insideV w:val="nil"/>
        </w:tcBorders>
        <w:shd w:val="clear" w:color="auto" w:fill="FFFFFF" w:themeFill="background1"/>
      </w:tcPr>
    </w:tblStylePr>
    <w:tblStylePr w:type="lastCol">
      <w:tblPr/>
      <w:tcPr>
        <w:tcBorders>
          <w:top w:val="nil"/>
          <w:left w:val="single" w:sz="8" w:space="0" w:color="2688F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E1FE" w:themeFill="accent3" w:themeFillTint="3F"/>
      </w:tcPr>
    </w:tblStylePr>
    <w:tblStylePr w:type="band1Horz">
      <w:tblPr/>
      <w:tcPr>
        <w:tcBorders>
          <w:top w:val="nil"/>
          <w:bottom w:val="nil"/>
          <w:insideH w:val="nil"/>
          <w:insideV w:val="nil"/>
        </w:tcBorders>
        <w:shd w:val="clear" w:color="auto" w:fill="C9E1FE"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AB07" w:themeColor="accent4"/>
        <w:left w:val="single" w:sz="8" w:space="0" w:color="FDAB07" w:themeColor="accent4"/>
        <w:bottom w:val="single" w:sz="8" w:space="0" w:color="FDAB07" w:themeColor="accent4"/>
        <w:right w:val="single" w:sz="8" w:space="0" w:color="FDAB07" w:themeColor="accent4"/>
      </w:tblBorders>
    </w:tblPr>
    <w:tblStylePr w:type="firstRow">
      <w:rPr>
        <w:sz w:val="24"/>
        <w:szCs w:val="24"/>
      </w:rPr>
      <w:tblPr/>
      <w:tcPr>
        <w:tcBorders>
          <w:top w:val="nil"/>
          <w:left w:val="nil"/>
          <w:bottom w:val="single" w:sz="24" w:space="0" w:color="FDAB07" w:themeColor="accent4"/>
          <w:right w:val="nil"/>
          <w:insideH w:val="nil"/>
          <w:insideV w:val="nil"/>
        </w:tcBorders>
        <w:shd w:val="clear" w:color="auto" w:fill="FFFFFF" w:themeFill="background1"/>
      </w:tcPr>
    </w:tblStylePr>
    <w:tblStylePr w:type="lastRow">
      <w:tblPr/>
      <w:tcPr>
        <w:tcBorders>
          <w:top w:val="single" w:sz="8" w:space="0" w:color="FDAB0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AB07" w:themeColor="accent4"/>
          <w:insideH w:val="nil"/>
          <w:insideV w:val="nil"/>
        </w:tcBorders>
        <w:shd w:val="clear" w:color="auto" w:fill="FFFFFF" w:themeFill="background1"/>
      </w:tcPr>
    </w:tblStylePr>
    <w:tblStylePr w:type="lastCol">
      <w:tblPr/>
      <w:tcPr>
        <w:tcBorders>
          <w:top w:val="nil"/>
          <w:left w:val="single" w:sz="8" w:space="0" w:color="FDAB0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AC1" w:themeFill="accent4" w:themeFillTint="3F"/>
      </w:tcPr>
    </w:tblStylePr>
    <w:tblStylePr w:type="band1Horz">
      <w:tblPr/>
      <w:tcPr>
        <w:tcBorders>
          <w:top w:val="nil"/>
          <w:bottom w:val="nil"/>
          <w:insideH w:val="nil"/>
          <w:insideV w:val="nil"/>
        </w:tcBorders>
        <w:shd w:val="clear" w:color="auto" w:fill="FEEA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C165D" w:themeColor="accent5"/>
        <w:left w:val="single" w:sz="8" w:space="0" w:color="DC165D" w:themeColor="accent5"/>
        <w:bottom w:val="single" w:sz="8" w:space="0" w:color="DC165D" w:themeColor="accent5"/>
        <w:right w:val="single" w:sz="8" w:space="0" w:color="DC165D" w:themeColor="accent5"/>
      </w:tblBorders>
    </w:tblPr>
    <w:tblStylePr w:type="firstRow">
      <w:rPr>
        <w:sz w:val="24"/>
        <w:szCs w:val="24"/>
      </w:rPr>
      <w:tblPr/>
      <w:tcPr>
        <w:tcBorders>
          <w:top w:val="nil"/>
          <w:left w:val="nil"/>
          <w:bottom w:val="single" w:sz="24" w:space="0" w:color="DC165D" w:themeColor="accent5"/>
          <w:right w:val="nil"/>
          <w:insideH w:val="nil"/>
          <w:insideV w:val="nil"/>
        </w:tcBorders>
        <w:shd w:val="clear" w:color="auto" w:fill="FFFFFF" w:themeFill="background1"/>
      </w:tcPr>
    </w:tblStylePr>
    <w:tblStylePr w:type="lastRow">
      <w:tblPr/>
      <w:tcPr>
        <w:tcBorders>
          <w:top w:val="single" w:sz="8" w:space="0" w:color="DC165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165D" w:themeColor="accent5"/>
          <w:insideH w:val="nil"/>
          <w:insideV w:val="nil"/>
        </w:tcBorders>
        <w:shd w:val="clear" w:color="auto" w:fill="FFFFFF" w:themeFill="background1"/>
      </w:tcPr>
    </w:tblStylePr>
    <w:tblStylePr w:type="lastCol">
      <w:tblPr/>
      <w:tcPr>
        <w:tcBorders>
          <w:top w:val="nil"/>
          <w:left w:val="single" w:sz="8" w:space="0" w:color="DC165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2D6" w:themeFill="accent5" w:themeFillTint="3F"/>
      </w:tcPr>
    </w:tblStylePr>
    <w:tblStylePr w:type="band1Horz">
      <w:tblPr/>
      <w:tcPr>
        <w:tcBorders>
          <w:top w:val="nil"/>
          <w:bottom w:val="nil"/>
          <w:insideH w:val="nil"/>
          <w:insideV w:val="nil"/>
        </w:tcBorders>
        <w:shd w:val="clear" w:color="auto" w:fill="F9C2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062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30A0" w:themeColor="accent6"/>
        <w:left w:val="single" w:sz="8" w:space="0" w:color="7030A0" w:themeColor="accent6"/>
        <w:bottom w:val="single" w:sz="8" w:space="0" w:color="7030A0" w:themeColor="accent6"/>
        <w:right w:val="single" w:sz="8" w:space="0" w:color="7030A0" w:themeColor="accent6"/>
      </w:tblBorders>
    </w:tblPr>
    <w:tblStylePr w:type="firstRow">
      <w:rPr>
        <w:sz w:val="24"/>
        <w:szCs w:val="24"/>
      </w:rPr>
      <w:tblPr/>
      <w:tcPr>
        <w:tcBorders>
          <w:top w:val="nil"/>
          <w:left w:val="nil"/>
          <w:bottom w:val="single" w:sz="24" w:space="0" w:color="7030A0" w:themeColor="accent6"/>
          <w:right w:val="nil"/>
          <w:insideH w:val="nil"/>
          <w:insideV w:val="nil"/>
        </w:tcBorders>
        <w:shd w:val="clear" w:color="auto" w:fill="FFFFFF" w:themeFill="background1"/>
      </w:tcPr>
    </w:tblStylePr>
    <w:tblStylePr w:type="lastRow">
      <w:tblPr/>
      <w:tcPr>
        <w:tcBorders>
          <w:top w:val="single" w:sz="8" w:space="0" w:color="7030A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30A0" w:themeColor="accent6"/>
          <w:insideH w:val="nil"/>
          <w:insideV w:val="nil"/>
        </w:tcBorders>
        <w:shd w:val="clear" w:color="auto" w:fill="FFFFFF" w:themeFill="background1"/>
      </w:tcPr>
    </w:tblStylePr>
    <w:tblStylePr w:type="lastCol">
      <w:tblPr/>
      <w:tcPr>
        <w:tcBorders>
          <w:top w:val="nil"/>
          <w:left w:val="single" w:sz="8" w:space="0" w:color="7030A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C5ED" w:themeFill="accent6" w:themeFillTint="3F"/>
      </w:tcPr>
    </w:tblStylePr>
    <w:tblStylePr w:type="band1Horz">
      <w:tblPr/>
      <w:tcPr>
        <w:tcBorders>
          <w:top w:val="nil"/>
          <w:bottom w:val="nil"/>
          <w:insideH w:val="nil"/>
          <w:insideV w:val="nil"/>
        </w:tcBorders>
        <w:shd w:val="clear" w:color="auto" w:fill="DCC5E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062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062A"/>
    <w:pPr>
      <w:spacing w:after="0" w:line="240" w:lineRule="auto"/>
    </w:pPr>
    <w:tblPr>
      <w:tblStyleRowBandSize w:val="1"/>
      <w:tblStyleColBandSize w:val="1"/>
      <w:tbl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single" w:sz="8" w:space="0" w:color="00E062" w:themeColor="accent1" w:themeTint="BF"/>
      </w:tblBorders>
    </w:tblPr>
    <w:tblStylePr w:type="firstRow">
      <w:pPr>
        <w:spacing w:before="0" w:after="0" w:line="240" w:lineRule="auto"/>
      </w:pPr>
      <w:rPr>
        <w:b/>
        <w:bCs/>
        <w:color w:val="FFFFFF" w:themeColor="background1"/>
      </w:rPr>
      <w:tblPr/>
      <w:tcPr>
        <w:tcBorders>
          <w:top w:val="single" w:sz="8"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shd w:val="clear" w:color="auto" w:fill="008139" w:themeFill="accent1"/>
      </w:tcPr>
    </w:tblStylePr>
    <w:tblStylePr w:type="lastRow">
      <w:pPr>
        <w:spacing w:before="0" w:after="0" w:line="240" w:lineRule="auto"/>
      </w:pPr>
      <w:rPr>
        <w:b/>
        <w:bCs/>
      </w:rPr>
      <w:tblPr/>
      <w:tcPr>
        <w:tcBorders>
          <w:top w:val="double" w:sz="6" w:space="0" w:color="00E062" w:themeColor="accent1" w:themeTint="BF"/>
          <w:left w:val="single" w:sz="8" w:space="0" w:color="00E062" w:themeColor="accent1" w:themeTint="BF"/>
          <w:bottom w:val="single" w:sz="8" w:space="0" w:color="00E062" w:themeColor="accent1" w:themeTint="BF"/>
          <w:right w:val="single" w:sz="8" w:space="0" w:color="00E06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FFCA" w:themeFill="accent1" w:themeFillTint="3F"/>
      </w:tcPr>
    </w:tblStylePr>
    <w:tblStylePr w:type="band1Horz">
      <w:tblPr/>
      <w:tcPr>
        <w:tcBorders>
          <w:insideH w:val="nil"/>
          <w:insideV w:val="nil"/>
        </w:tcBorders>
        <w:shd w:val="clear" w:color="auto" w:fill="A0FFC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062A"/>
    <w:pPr>
      <w:spacing w:after="0" w:line="240" w:lineRule="auto"/>
    </w:pPr>
    <w:tblPr>
      <w:tblStyleRowBandSize w:val="1"/>
      <w:tblStyleColBandSize w:val="1"/>
      <w:tblBorders>
        <w:top w:val="single" w:sz="8" w:space="0" w:color="FC5E2A" w:themeColor="accent2" w:themeTint="BF"/>
        <w:left w:val="single" w:sz="8" w:space="0" w:color="FC5E2A" w:themeColor="accent2" w:themeTint="BF"/>
        <w:bottom w:val="single" w:sz="8" w:space="0" w:color="FC5E2A" w:themeColor="accent2" w:themeTint="BF"/>
        <w:right w:val="single" w:sz="8" w:space="0" w:color="FC5E2A" w:themeColor="accent2" w:themeTint="BF"/>
        <w:insideH w:val="single" w:sz="8" w:space="0" w:color="FC5E2A" w:themeColor="accent2" w:themeTint="BF"/>
      </w:tblBorders>
    </w:tblPr>
    <w:tblStylePr w:type="firstRow">
      <w:pPr>
        <w:spacing w:before="0" w:after="0" w:line="240" w:lineRule="auto"/>
      </w:pPr>
      <w:rPr>
        <w:b/>
        <w:bCs/>
        <w:color w:val="FFFFFF" w:themeColor="background1"/>
      </w:rPr>
      <w:tblPr/>
      <w:tcPr>
        <w:tcBorders>
          <w:top w:val="single" w:sz="8" w:space="0" w:color="FC5E2A" w:themeColor="accent2" w:themeTint="BF"/>
          <w:left w:val="single" w:sz="8" w:space="0" w:color="FC5E2A" w:themeColor="accent2" w:themeTint="BF"/>
          <w:bottom w:val="single" w:sz="8" w:space="0" w:color="FC5E2A" w:themeColor="accent2" w:themeTint="BF"/>
          <w:right w:val="single" w:sz="8" w:space="0" w:color="FC5E2A" w:themeColor="accent2" w:themeTint="BF"/>
          <w:insideH w:val="nil"/>
          <w:insideV w:val="nil"/>
        </w:tcBorders>
        <w:shd w:val="clear" w:color="auto" w:fill="DC3903" w:themeFill="accent2"/>
      </w:tcPr>
    </w:tblStylePr>
    <w:tblStylePr w:type="lastRow">
      <w:pPr>
        <w:spacing w:before="0" w:after="0" w:line="240" w:lineRule="auto"/>
      </w:pPr>
      <w:rPr>
        <w:b/>
        <w:bCs/>
      </w:rPr>
      <w:tblPr/>
      <w:tcPr>
        <w:tcBorders>
          <w:top w:val="double" w:sz="6" w:space="0" w:color="FC5E2A" w:themeColor="accent2" w:themeTint="BF"/>
          <w:left w:val="single" w:sz="8" w:space="0" w:color="FC5E2A" w:themeColor="accent2" w:themeTint="BF"/>
          <w:bottom w:val="single" w:sz="8" w:space="0" w:color="FC5E2A" w:themeColor="accent2" w:themeTint="BF"/>
          <w:right w:val="single" w:sz="8" w:space="0" w:color="FC5E2A" w:themeColor="accent2" w:themeTint="BF"/>
          <w:insideH w:val="nil"/>
          <w:insideV w:val="nil"/>
        </w:tcBorders>
      </w:tcPr>
    </w:tblStylePr>
    <w:tblStylePr w:type="firstCol">
      <w:rPr>
        <w:b/>
        <w:bCs/>
      </w:rPr>
    </w:tblStylePr>
    <w:tblStylePr w:type="lastCol">
      <w:rPr>
        <w:b/>
        <w:bCs/>
      </w:rPr>
    </w:tblStylePr>
    <w:tblStylePr w:type="band1Vert">
      <w:tblPr/>
      <w:tcPr>
        <w:shd w:val="clear" w:color="auto" w:fill="FEC9B8" w:themeFill="accent2" w:themeFillTint="3F"/>
      </w:tcPr>
    </w:tblStylePr>
    <w:tblStylePr w:type="band1Horz">
      <w:tblPr/>
      <w:tcPr>
        <w:tcBorders>
          <w:insideH w:val="nil"/>
          <w:insideV w:val="nil"/>
        </w:tcBorders>
        <w:shd w:val="clear" w:color="auto" w:fill="FEC9B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062A"/>
    <w:pPr>
      <w:spacing w:after="0" w:line="240" w:lineRule="auto"/>
    </w:pPr>
    <w:tblPr>
      <w:tblStyleRowBandSize w:val="1"/>
      <w:tblStyleColBandSize w:val="1"/>
      <w:tbl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single" w:sz="8" w:space="0" w:color="5CA5FE" w:themeColor="accent3" w:themeTint="BF"/>
      </w:tblBorders>
    </w:tblPr>
    <w:tblStylePr w:type="firstRow">
      <w:pPr>
        <w:spacing w:before="0" w:after="0" w:line="240" w:lineRule="auto"/>
      </w:pPr>
      <w:rPr>
        <w:b/>
        <w:bCs/>
        <w:color w:val="FFFFFF" w:themeColor="background1"/>
      </w:rPr>
      <w:tblPr/>
      <w:tcPr>
        <w:tcBorders>
          <w:top w:val="single" w:sz="8"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shd w:val="clear" w:color="auto" w:fill="2688FE" w:themeFill="accent3"/>
      </w:tcPr>
    </w:tblStylePr>
    <w:tblStylePr w:type="lastRow">
      <w:pPr>
        <w:spacing w:before="0" w:after="0" w:line="240" w:lineRule="auto"/>
      </w:pPr>
      <w:rPr>
        <w:b/>
        <w:bCs/>
      </w:rPr>
      <w:tblPr/>
      <w:tcPr>
        <w:tcBorders>
          <w:top w:val="double" w:sz="6" w:space="0" w:color="5CA5FE" w:themeColor="accent3" w:themeTint="BF"/>
          <w:left w:val="single" w:sz="8" w:space="0" w:color="5CA5FE" w:themeColor="accent3" w:themeTint="BF"/>
          <w:bottom w:val="single" w:sz="8" w:space="0" w:color="5CA5FE" w:themeColor="accent3" w:themeTint="BF"/>
          <w:right w:val="single" w:sz="8" w:space="0" w:color="5CA5F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E1FE" w:themeFill="accent3" w:themeFillTint="3F"/>
      </w:tcPr>
    </w:tblStylePr>
    <w:tblStylePr w:type="band1Horz">
      <w:tblPr/>
      <w:tcPr>
        <w:tcBorders>
          <w:insideH w:val="nil"/>
          <w:insideV w:val="nil"/>
        </w:tcBorders>
        <w:shd w:val="clear" w:color="auto" w:fill="C9E1FE"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062A"/>
    <w:pPr>
      <w:spacing w:after="0" w:line="240" w:lineRule="auto"/>
    </w:pPr>
    <w:tblPr>
      <w:tblStyleRowBandSize w:val="1"/>
      <w:tblStyleColBandSize w:val="1"/>
      <w:tbl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single" w:sz="8" w:space="0" w:color="FDC045" w:themeColor="accent4" w:themeTint="BF"/>
      </w:tblBorders>
    </w:tblPr>
    <w:tblStylePr w:type="firstRow">
      <w:pPr>
        <w:spacing w:before="0" w:after="0" w:line="240" w:lineRule="auto"/>
      </w:pPr>
      <w:rPr>
        <w:b/>
        <w:bCs/>
        <w:color w:val="FFFFFF" w:themeColor="background1"/>
      </w:rPr>
      <w:tblPr/>
      <w:tcPr>
        <w:tcBorders>
          <w:top w:val="single" w:sz="8"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shd w:val="clear" w:color="auto" w:fill="FDAB07" w:themeFill="accent4"/>
      </w:tcPr>
    </w:tblStylePr>
    <w:tblStylePr w:type="lastRow">
      <w:pPr>
        <w:spacing w:before="0" w:after="0" w:line="240" w:lineRule="auto"/>
      </w:pPr>
      <w:rPr>
        <w:b/>
        <w:bCs/>
      </w:rPr>
      <w:tblPr/>
      <w:tcPr>
        <w:tcBorders>
          <w:top w:val="double" w:sz="6" w:space="0" w:color="FDC045" w:themeColor="accent4" w:themeTint="BF"/>
          <w:left w:val="single" w:sz="8" w:space="0" w:color="FDC045" w:themeColor="accent4" w:themeTint="BF"/>
          <w:bottom w:val="single" w:sz="8" w:space="0" w:color="FDC045" w:themeColor="accent4" w:themeTint="BF"/>
          <w:right w:val="single" w:sz="8" w:space="0" w:color="FDC045"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EAC1" w:themeFill="accent4" w:themeFillTint="3F"/>
      </w:tcPr>
    </w:tblStylePr>
    <w:tblStylePr w:type="band1Horz">
      <w:tblPr/>
      <w:tcPr>
        <w:tcBorders>
          <w:insideH w:val="nil"/>
          <w:insideV w:val="nil"/>
        </w:tcBorders>
        <w:shd w:val="clear" w:color="auto" w:fill="FEEAC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062A"/>
    <w:pPr>
      <w:spacing w:after="0" w:line="240" w:lineRule="auto"/>
    </w:pPr>
    <w:tblPr>
      <w:tblStyleRowBandSize w:val="1"/>
      <w:tblStyleColBandSize w:val="1"/>
      <w:tbl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single" w:sz="8" w:space="0" w:color="EC4882" w:themeColor="accent5" w:themeTint="BF"/>
      </w:tblBorders>
    </w:tblPr>
    <w:tblStylePr w:type="firstRow">
      <w:pPr>
        <w:spacing w:before="0" w:after="0" w:line="240" w:lineRule="auto"/>
      </w:pPr>
      <w:rPr>
        <w:b/>
        <w:bCs/>
        <w:color w:val="FFFFFF" w:themeColor="background1"/>
      </w:rPr>
      <w:tblPr/>
      <w:tcPr>
        <w:tcBorders>
          <w:top w:val="single" w:sz="8"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shd w:val="clear" w:color="auto" w:fill="DC165D" w:themeFill="accent5"/>
      </w:tcPr>
    </w:tblStylePr>
    <w:tblStylePr w:type="lastRow">
      <w:pPr>
        <w:spacing w:before="0" w:after="0" w:line="240" w:lineRule="auto"/>
      </w:pPr>
      <w:rPr>
        <w:b/>
        <w:bCs/>
      </w:rPr>
      <w:tblPr/>
      <w:tcPr>
        <w:tcBorders>
          <w:top w:val="double" w:sz="6" w:space="0" w:color="EC4882" w:themeColor="accent5" w:themeTint="BF"/>
          <w:left w:val="single" w:sz="8" w:space="0" w:color="EC4882" w:themeColor="accent5" w:themeTint="BF"/>
          <w:bottom w:val="single" w:sz="8" w:space="0" w:color="EC4882" w:themeColor="accent5" w:themeTint="BF"/>
          <w:right w:val="single" w:sz="8" w:space="0" w:color="EC4882"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2D6" w:themeFill="accent5" w:themeFillTint="3F"/>
      </w:tcPr>
    </w:tblStylePr>
    <w:tblStylePr w:type="band1Horz">
      <w:tblPr/>
      <w:tcPr>
        <w:tcBorders>
          <w:insideH w:val="nil"/>
          <w:insideV w:val="nil"/>
        </w:tcBorders>
        <w:shd w:val="clear" w:color="auto" w:fill="F9C2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062A"/>
    <w:pPr>
      <w:spacing w:after="0" w:line="240" w:lineRule="auto"/>
    </w:pPr>
    <w:tblPr>
      <w:tblStyleRowBandSize w:val="1"/>
      <w:tblStyleColBandSize w:val="1"/>
      <w:tbl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single" w:sz="8" w:space="0" w:color="9650CA" w:themeColor="accent6" w:themeTint="BF"/>
      </w:tblBorders>
    </w:tblPr>
    <w:tblStylePr w:type="firstRow">
      <w:pPr>
        <w:spacing w:before="0" w:after="0" w:line="240" w:lineRule="auto"/>
      </w:pPr>
      <w:rPr>
        <w:b/>
        <w:bCs/>
        <w:color w:val="FFFFFF" w:themeColor="background1"/>
      </w:rPr>
      <w:tblPr/>
      <w:tcPr>
        <w:tcBorders>
          <w:top w:val="single" w:sz="8"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shd w:val="clear" w:color="auto" w:fill="7030A0" w:themeFill="accent6"/>
      </w:tcPr>
    </w:tblStylePr>
    <w:tblStylePr w:type="lastRow">
      <w:pPr>
        <w:spacing w:before="0" w:after="0" w:line="240" w:lineRule="auto"/>
      </w:pPr>
      <w:rPr>
        <w:b/>
        <w:bCs/>
      </w:rPr>
      <w:tblPr/>
      <w:tcPr>
        <w:tcBorders>
          <w:top w:val="double" w:sz="6" w:space="0" w:color="9650CA" w:themeColor="accent6" w:themeTint="BF"/>
          <w:left w:val="single" w:sz="8" w:space="0" w:color="9650CA" w:themeColor="accent6" w:themeTint="BF"/>
          <w:bottom w:val="single" w:sz="8" w:space="0" w:color="9650CA" w:themeColor="accent6" w:themeTint="BF"/>
          <w:right w:val="single" w:sz="8" w:space="0" w:color="9650C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CC5ED" w:themeFill="accent6" w:themeFillTint="3F"/>
      </w:tcPr>
    </w:tblStylePr>
    <w:tblStylePr w:type="band1Horz">
      <w:tblPr/>
      <w:tcPr>
        <w:tcBorders>
          <w:insideH w:val="nil"/>
          <w:insideV w:val="nil"/>
        </w:tcBorders>
        <w:shd w:val="clear" w:color="auto" w:fill="DCC5E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13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139" w:themeFill="accent1"/>
      </w:tcPr>
    </w:tblStylePr>
    <w:tblStylePr w:type="lastCol">
      <w:rPr>
        <w:b/>
        <w:bCs/>
        <w:color w:val="FFFFFF" w:themeColor="background1"/>
      </w:rPr>
      <w:tblPr/>
      <w:tcPr>
        <w:tcBorders>
          <w:left w:val="nil"/>
          <w:right w:val="nil"/>
          <w:insideH w:val="nil"/>
          <w:insideV w:val="nil"/>
        </w:tcBorders>
        <w:shd w:val="clear" w:color="auto" w:fill="00813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390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3903" w:themeFill="accent2"/>
      </w:tcPr>
    </w:tblStylePr>
    <w:tblStylePr w:type="lastCol">
      <w:rPr>
        <w:b/>
        <w:bCs/>
        <w:color w:val="FFFFFF" w:themeColor="background1"/>
      </w:rPr>
      <w:tblPr/>
      <w:tcPr>
        <w:tcBorders>
          <w:left w:val="nil"/>
          <w:right w:val="nil"/>
          <w:insideH w:val="nil"/>
          <w:insideV w:val="nil"/>
        </w:tcBorders>
        <w:shd w:val="clear" w:color="auto" w:fill="DC390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88F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88FE" w:themeFill="accent3"/>
      </w:tcPr>
    </w:tblStylePr>
    <w:tblStylePr w:type="lastCol">
      <w:rPr>
        <w:b/>
        <w:bCs/>
        <w:color w:val="FFFFFF" w:themeColor="background1"/>
      </w:rPr>
      <w:tblPr/>
      <w:tcPr>
        <w:tcBorders>
          <w:left w:val="nil"/>
          <w:right w:val="nil"/>
          <w:insideH w:val="nil"/>
          <w:insideV w:val="nil"/>
        </w:tcBorders>
        <w:shd w:val="clear" w:color="auto" w:fill="2688F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AB0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AB07" w:themeFill="accent4"/>
      </w:tcPr>
    </w:tblStylePr>
    <w:tblStylePr w:type="lastCol">
      <w:rPr>
        <w:b/>
        <w:bCs/>
        <w:color w:val="FFFFFF" w:themeColor="background1"/>
      </w:rPr>
      <w:tblPr/>
      <w:tcPr>
        <w:tcBorders>
          <w:left w:val="nil"/>
          <w:right w:val="nil"/>
          <w:insideH w:val="nil"/>
          <w:insideV w:val="nil"/>
        </w:tcBorders>
        <w:shd w:val="clear" w:color="auto" w:fill="FDAB0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165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165D" w:themeFill="accent5"/>
      </w:tcPr>
    </w:tblStylePr>
    <w:tblStylePr w:type="lastCol">
      <w:rPr>
        <w:b/>
        <w:bCs/>
        <w:color w:val="FFFFFF" w:themeColor="background1"/>
      </w:rPr>
      <w:tblPr/>
      <w:tcPr>
        <w:tcBorders>
          <w:left w:val="nil"/>
          <w:right w:val="nil"/>
          <w:insideH w:val="nil"/>
          <w:insideV w:val="nil"/>
        </w:tcBorders>
        <w:shd w:val="clear" w:color="auto" w:fill="DC165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7062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30A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30A0" w:themeFill="accent6"/>
      </w:tcPr>
    </w:tblStylePr>
    <w:tblStylePr w:type="lastCol">
      <w:rPr>
        <w:b/>
        <w:bCs/>
        <w:color w:val="FFFFFF" w:themeColor="background1"/>
      </w:rPr>
      <w:tblPr/>
      <w:tcPr>
        <w:tcBorders>
          <w:left w:val="nil"/>
          <w:right w:val="nil"/>
          <w:insideH w:val="nil"/>
          <w:insideV w:val="nil"/>
        </w:tcBorders>
        <w:shd w:val="clear" w:color="auto" w:fill="7030A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57062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7062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7062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7062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7062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57062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IntenseEmphasis">
    <w:name w:val="Intense Emphasis"/>
    <w:basedOn w:val="DefaultParagraphFont"/>
    <w:uiPriority w:val="21"/>
    <w:qFormat/>
    <w:rsid w:val="0057062A"/>
    <w:rPr>
      <w:i/>
      <w:iCs/>
      <w:color w:val="008139" w:themeColor="accent1"/>
    </w:rPr>
  </w:style>
  <w:style w:type="character" w:styleId="IntenseReference">
    <w:name w:val="Intense Reference"/>
    <w:basedOn w:val="DefaultParagraphFont"/>
    <w:uiPriority w:val="32"/>
    <w:qFormat/>
    <w:rsid w:val="0057062A"/>
    <w:rPr>
      <w:b/>
      <w:bCs/>
      <w:smallCaps/>
      <w:color w:val="008139" w:themeColor="accent1"/>
      <w:spacing w:val="5"/>
    </w:rPr>
  </w:style>
  <w:style w:type="character" w:styleId="SubtleEmphasis">
    <w:name w:val="Subtle Emphasis"/>
    <w:basedOn w:val="DefaultParagraphFont"/>
    <w:uiPriority w:val="19"/>
    <w:qFormat/>
    <w:rsid w:val="0057062A"/>
    <w:rPr>
      <w:i/>
      <w:iCs/>
      <w:color w:val="404040" w:themeColor="text1" w:themeTint="BF"/>
    </w:rPr>
  </w:style>
  <w:style w:type="character" w:styleId="SubtleReference">
    <w:name w:val="Subtle Reference"/>
    <w:basedOn w:val="DefaultParagraphFont"/>
    <w:uiPriority w:val="31"/>
    <w:qFormat/>
    <w:rsid w:val="0057062A"/>
    <w:rPr>
      <w:smallCaps/>
      <w:color w:val="5A5A5A" w:themeColor="text1" w:themeTint="A5"/>
    </w:rPr>
  </w:style>
  <w:style w:type="paragraph" w:customStyle="1" w:styleId="ListBulnormalet-Black">
    <w:name w:val="List Bulnormalet - Black"/>
    <w:basedOn w:val="ListBullet-Black"/>
    <w:rsid w:val="00B82F5E"/>
    <w:pPr>
      <w:numPr>
        <w:numId w:val="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6430302">
      <w:bodyDiv w:val="1"/>
      <w:marLeft w:val="0"/>
      <w:marRight w:val="0"/>
      <w:marTop w:val="0"/>
      <w:marBottom w:val="0"/>
      <w:divBdr>
        <w:top w:val="none" w:sz="0" w:space="0" w:color="auto"/>
        <w:left w:val="none" w:sz="0" w:space="0" w:color="auto"/>
        <w:bottom w:val="none" w:sz="0" w:space="0" w:color="auto"/>
        <w:right w:val="none" w:sz="0" w:space="0" w:color="auto"/>
      </w:divBdr>
    </w:div>
    <w:div w:id="1917591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6.xml"/><Relationship Id="rId47" Type="http://schemas.openxmlformats.org/officeDocument/2006/relationships/footer" Target="footer18.xml"/><Relationship Id="rId50" Type="http://schemas.openxmlformats.org/officeDocument/2006/relationships/footer" Target="footer19.xml"/><Relationship Id="rId55" Type="http://schemas.openxmlformats.org/officeDocument/2006/relationships/header" Target="header23.xml"/><Relationship Id="rId63" Type="http://schemas.openxmlformats.org/officeDocument/2006/relationships/footer" Target="footer2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footer" Target="footer17.xml"/><Relationship Id="rId53" Type="http://schemas.openxmlformats.org/officeDocument/2006/relationships/footer" Target="footer21.xml"/><Relationship Id="rId58" Type="http://schemas.openxmlformats.org/officeDocument/2006/relationships/header" Target="header24.xml"/><Relationship Id="rId66"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20.xml"/><Relationship Id="rId57" Type="http://schemas.openxmlformats.org/officeDocument/2006/relationships/footer" Target="footer23.xml"/><Relationship Id="rId61" Type="http://schemas.openxmlformats.org/officeDocument/2006/relationships/header" Target="header26.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footer" Target="footer22.xml"/><Relationship Id="rId64" Type="http://schemas.openxmlformats.org/officeDocument/2006/relationships/header" Target="header27.xml"/><Relationship Id="rId8" Type="http://schemas.openxmlformats.org/officeDocument/2006/relationships/webSettings" Target="webSettings.xml"/><Relationship Id="rId51" Type="http://schemas.openxmlformats.org/officeDocument/2006/relationships/footer" Target="footer20.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theme" Target="theme/theme1.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footer" Target="footer25.xml"/></Relationships>
</file>

<file path=word/_rels/header11.xml.rels><?xml version="1.0" encoding="UTF-8" standalone="yes"?>
<Relationships xmlns="http://schemas.openxmlformats.org/package/2006/relationships"><Relationship Id="rId1"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MPR 2026">
      <a:dk1>
        <a:srgbClr val="000000"/>
      </a:dk1>
      <a:lt1>
        <a:sysClr val="window" lastClr="FFFFFF"/>
      </a:lt1>
      <a:dk2>
        <a:srgbClr val="003399"/>
      </a:dk2>
      <a:lt2>
        <a:srgbClr val="F3F7FF"/>
      </a:lt2>
      <a:accent1>
        <a:srgbClr val="008139"/>
      </a:accent1>
      <a:accent2>
        <a:srgbClr val="DC3903"/>
      </a:accent2>
      <a:accent3>
        <a:srgbClr val="2688FE"/>
      </a:accent3>
      <a:accent4>
        <a:srgbClr val="FDAB07"/>
      </a:accent4>
      <a:accent5>
        <a:srgbClr val="DC165D"/>
      </a:accent5>
      <a:accent6>
        <a:srgbClr val="7030A0"/>
      </a:accent6>
      <a:hlink>
        <a:srgbClr val="003399"/>
      </a:hlink>
      <a:folHlink>
        <a:srgbClr val="0033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D24022E66C1540A3B1E037465E0CE3" ma:contentTypeVersion="8" ma:contentTypeDescription="Create a new document." ma:contentTypeScope="" ma:versionID="6d3a7a8b69be78fb87f56b4f1e94266a">
  <xsd:schema xmlns:xsd="http://www.w3.org/2001/XMLSchema" xmlns:xs="http://www.w3.org/2001/XMLSchema" xmlns:p="http://schemas.microsoft.com/office/2006/metadata/properties" xmlns:ns2="d07530ff-ae8d-4383-9420-67306a016191" xmlns:ns3="d0b4669b-3562-445a-a428-e501203eb641" targetNamespace="http://schemas.microsoft.com/office/2006/metadata/properties" ma:root="true" ma:fieldsID="38b76655fad3c1b26d1a007b0772cfa2" ns2:_="" ns3:_="">
    <xsd:import namespace="d07530ff-ae8d-4383-9420-67306a016191"/>
    <xsd:import namespace="d0b4669b-3562-445a-a428-e501203eb6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7530ff-ae8d-4383-9420-67306a016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b4669b-3562-445a-a428-e501203eb64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FCC18-1E39-44F7-8C70-464329DC0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7530ff-ae8d-4383-9420-67306a016191"/>
    <ds:schemaRef ds:uri="d0b4669b-3562-445a-a428-e501203eb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4C96B3-3FE0-4FA5-8BA9-410E8318CA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FD7D83-02B0-4946-8C38-D8DE4FC683CB}">
  <ds:schemaRefs>
    <ds:schemaRef ds:uri="http://schemas.microsoft.com/sharepoint/v3/contenttype/forms"/>
  </ds:schemaRefs>
</ds:datastoreItem>
</file>

<file path=customXml/itemProps4.xml><?xml version="1.0" encoding="utf-8"?>
<ds:datastoreItem xmlns:ds="http://schemas.openxmlformats.org/officeDocument/2006/customXml" ds:itemID="{6AFE4647-8C67-4F79-8963-4202F8F30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25881</Words>
  <Characters>147526</Characters>
  <Application>Microsoft Office Word</Application>
  <DocSecurity>0</DocSecurity>
  <Lines>1229</Lines>
  <Paragraphs>346</Paragraphs>
  <ScaleCrop>false</ScaleCrop>
  <Manager/>
  <Company/>
  <LinksUpToDate>false</LinksUpToDate>
  <CharactersWithSpaces>173061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113</cp:revision>
  <dcterms:created xsi:type="dcterms:W3CDTF">2026-05-29T14:52:00Z</dcterms:created>
  <dcterms:modified xsi:type="dcterms:W3CDTF">2026-06-08T07:19:00Z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CP-025</vt:lpwstr>
  </property>
  <property fmtid="{D5CDD505-2E9C-101B-9397-08002B2CF9AE}" pid="7" name="Last edited using">
    <vt:lpwstr>LW 9.2, Build 20250828</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2025-03-31T16:31:47Z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abbd3882-d17d-4ae7-8b8d-ddde1e72c516</vt:lpwstr>
  </property>
  <property fmtid="{D5CDD505-2E9C-101B-9397-08002B2CF9AE}" pid="15" name="MSIP_Label_6bd9ddd1-4d20-43f6-abfa-fc3c07406f94_ContentBits">
    <vt:lpwstr>0</vt:lpwstr>
  </property>
  <property fmtid="{D5CDD505-2E9C-101B-9397-08002B2CF9AE}" pid="16" name="ContentTypeId">
    <vt:lpwstr>0x01010043D24022E66C1540A3B1E037465E0CE3</vt:lpwstr>
  </property>
  <property fmtid="{D5CDD505-2E9C-101B-9397-08002B2CF9AE}" pid="17" name="docLang">
    <vt:lpwstr>en</vt:lpwstr>
  </property>
</Properties>
</file>